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8F5" w:rsidRDefault="00BE78F5" w:rsidP="00BE78F5">
      <w:pPr>
        <w:pStyle w:val="Heading2"/>
        <w:rPr>
          <w:sz w:val="20"/>
          <w:lang w:val="en-US"/>
        </w:rPr>
      </w:pPr>
      <w:r>
        <w:rPr>
          <w:lang w:val="en-US"/>
        </w:rPr>
        <w:t>Traumatic Brain Injury (TBI) definition</w:t>
      </w:r>
    </w:p>
    <w:p w:rsidR="00BE78F5" w:rsidRDefault="00BE78F5" w:rsidP="00BE78F5">
      <w:pPr>
        <w:rPr>
          <w:lang w:val="en-US"/>
        </w:rPr>
      </w:pPr>
      <w:r>
        <w:rPr>
          <w:bCs/>
          <w:lang w:val="en-US"/>
        </w:rPr>
        <w:t>TBI is defin</w:t>
      </w:r>
      <w:bookmarkStart w:id="0" w:name="_GoBack"/>
      <w:bookmarkEnd w:id="0"/>
      <w:r>
        <w:rPr>
          <w:bCs/>
          <w:lang w:val="en-US"/>
        </w:rPr>
        <w:t>ed as an a</w:t>
      </w:r>
      <w:r>
        <w:rPr>
          <w:lang w:val="en-US"/>
        </w:rPr>
        <w:t>lteration in brain function, or other evidence of brain pathology, caused by an external force.</w:t>
      </w:r>
    </w:p>
    <w:p w:rsidR="00BE78F5" w:rsidRDefault="00BE78F5" w:rsidP="00BE78F5">
      <w:pPr>
        <w:pStyle w:val="Heading2"/>
        <w:rPr>
          <w:lang w:val="en-US"/>
        </w:rPr>
      </w:pPr>
      <w:r>
        <w:rPr>
          <w:lang w:val="en-US"/>
        </w:rPr>
        <w:t>Explanatory notes:</w:t>
      </w:r>
    </w:p>
    <w:p w:rsidR="00BE78F5" w:rsidRDefault="00BE78F5" w:rsidP="00BE78F5">
      <w:pPr>
        <w:numPr>
          <w:ilvl w:val="0"/>
          <w:numId w:val="14"/>
        </w:numPr>
        <w:rPr>
          <w:lang w:val="en-US"/>
        </w:rPr>
      </w:pPr>
      <w:r>
        <w:rPr>
          <w:lang w:val="en-US"/>
        </w:rPr>
        <w:t>Alteration in brain function</w:t>
      </w:r>
      <w:r>
        <w:rPr>
          <w:i/>
          <w:lang w:val="en-US"/>
        </w:rPr>
        <w:t xml:space="preserve"> </w:t>
      </w:r>
      <w:r>
        <w:rPr>
          <w:lang w:val="en-US"/>
        </w:rPr>
        <w:t>is defined as one of the following clinical signs:</w:t>
      </w:r>
    </w:p>
    <w:p w:rsidR="00BE78F5" w:rsidRDefault="00BE78F5" w:rsidP="00BE78F5">
      <w:pPr>
        <w:numPr>
          <w:ilvl w:val="0"/>
          <w:numId w:val="7"/>
        </w:numPr>
        <w:spacing w:before="120" w:after="60"/>
        <w:rPr>
          <w:sz w:val="20"/>
          <w:lang w:val="en-US"/>
        </w:rPr>
      </w:pPr>
      <w:r>
        <w:rPr>
          <w:lang w:val="en-US"/>
        </w:rPr>
        <w:t>Any period of loss of or a decreased level of consciousness (LOC);</w:t>
      </w:r>
    </w:p>
    <w:p w:rsidR="00BE78F5" w:rsidRDefault="00BE78F5" w:rsidP="00BE78F5">
      <w:pPr>
        <w:numPr>
          <w:ilvl w:val="0"/>
          <w:numId w:val="7"/>
        </w:numPr>
        <w:spacing w:before="120" w:after="60"/>
        <w:rPr>
          <w:lang w:val="en-US"/>
        </w:rPr>
      </w:pPr>
      <w:r>
        <w:rPr>
          <w:lang w:val="en-US"/>
        </w:rPr>
        <w:t>Any loss of memory for events immediately before (retrograde) or after the injury (PTA);</w:t>
      </w:r>
    </w:p>
    <w:p w:rsidR="00BE78F5" w:rsidRDefault="00BE78F5" w:rsidP="00BE78F5">
      <w:pPr>
        <w:numPr>
          <w:ilvl w:val="0"/>
          <w:numId w:val="7"/>
        </w:numPr>
        <w:spacing w:before="120" w:after="60"/>
        <w:rPr>
          <w:lang w:val="en-US"/>
        </w:rPr>
      </w:pPr>
      <w:r>
        <w:rPr>
          <w:lang w:val="en-US"/>
        </w:rPr>
        <w:t>Neurological deficits (weakness, loss of balance, change in vision, dyspraxia, paresis/</w:t>
      </w:r>
      <w:proofErr w:type="spellStart"/>
      <w:r>
        <w:rPr>
          <w:lang w:val="en-US"/>
        </w:rPr>
        <w:t>plegia</w:t>
      </w:r>
      <w:proofErr w:type="spellEnd"/>
      <w:r>
        <w:rPr>
          <w:lang w:val="en-US"/>
        </w:rPr>
        <w:t xml:space="preserve">, sensory loss, aphasia, etc.); </w:t>
      </w:r>
    </w:p>
    <w:p w:rsidR="00BE78F5" w:rsidRDefault="00BE78F5" w:rsidP="00BE78F5">
      <w:pPr>
        <w:numPr>
          <w:ilvl w:val="0"/>
          <w:numId w:val="7"/>
        </w:numPr>
        <w:spacing w:before="120" w:after="60"/>
        <w:rPr>
          <w:lang w:val="en-US"/>
        </w:rPr>
      </w:pPr>
      <w:r>
        <w:rPr>
          <w:lang w:val="en-US"/>
        </w:rPr>
        <w:t>Any alteration in mental state at the time of the injury (confusion, disorientation, slowed thinking, etc.);</w:t>
      </w:r>
    </w:p>
    <w:p w:rsidR="00BE78F5" w:rsidRDefault="00BE78F5" w:rsidP="00BE78F5">
      <w:pPr>
        <w:spacing w:line="480" w:lineRule="auto"/>
        <w:rPr>
          <w:lang w:val="en-US"/>
        </w:rPr>
      </w:pPr>
      <w:r>
        <w:rPr>
          <w:lang w:val="en-US"/>
        </w:rPr>
        <w:t xml:space="preserve">It is important to </w:t>
      </w:r>
      <w:proofErr w:type="spellStart"/>
      <w:r>
        <w:rPr>
          <w:lang w:val="en-US"/>
        </w:rPr>
        <w:t>recognise</w:t>
      </w:r>
      <w:proofErr w:type="spellEnd"/>
      <w:r>
        <w:rPr>
          <w:lang w:val="en-US"/>
        </w:rPr>
        <w:t xml:space="preserve"> that factors other than TBI may be responsible for alterations in mental state at the time of the injury (e.g. pain, posttraumatic shock, medication, alcohol intoxication/abuse and/or recreational drug use). However, these confounders may be associated with well documented TBI, and present particular diagnostic challenges with mild TBI (where the evidence of TBI may be subtle). Consequently, the presence of these confounding factors should not preclude a diagnosis of TBI; however, careful clinical review may need to be employed before assigning a given set of clinical findings as being caused by TBI in such settings. Similarly, focal motor deficits due to spinal, plexus, or other peripheral nerve injury may provide an alternative cause of focal neurological deficit. This may be a less common confound, unless the level of consciousness is decreased, but must still be considered before a robust diagnosis of TBI is possible.</w:t>
      </w:r>
    </w:p>
    <w:p w:rsidR="00BE78F5" w:rsidRDefault="00BE78F5" w:rsidP="00BE78F5">
      <w:pPr>
        <w:spacing w:line="480" w:lineRule="auto"/>
        <w:rPr>
          <w:lang w:val="en-US"/>
        </w:rPr>
      </w:pPr>
      <w:r>
        <w:rPr>
          <w:lang w:val="en-US"/>
        </w:rPr>
        <w:t xml:space="preserve">Typically, TBI has been diagnosed when the symptoms and signs are closely temporally related to the insult. However, we need to </w:t>
      </w:r>
      <w:proofErr w:type="spellStart"/>
      <w:r>
        <w:rPr>
          <w:lang w:val="en-US"/>
        </w:rPr>
        <w:t>recognise</w:t>
      </w:r>
      <w:proofErr w:type="spellEnd"/>
      <w:r>
        <w:rPr>
          <w:lang w:val="en-US"/>
        </w:rPr>
        <w:t xml:space="preserve"> that clinical manifestations may be delayed. This issue is particularly relevant for neuropsychiatric </w:t>
      </w:r>
      <w:proofErr w:type="spellStart"/>
      <w:r>
        <w:rPr>
          <w:lang w:val="en-US"/>
        </w:rPr>
        <w:t>sequelae</w:t>
      </w:r>
      <w:proofErr w:type="spellEnd"/>
      <w:r>
        <w:rPr>
          <w:lang w:val="en-US"/>
        </w:rPr>
        <w:t xml:space="preserve"> (depression, impulsivity, apathy, </w:t>
      </w:r>
      <w:proofErr w:type="spellStart"/>
      <w:r>
        <w:rPr>
          <w:lang w:val="en-US"/>
        </w:rPr>
        <w:t>etc</w:t>
      </w:r>
      <w:proofErr w:type="spellEnd"/>
      <w:r>
        <w:rPr>
          <w:lang w:val="en-US"/>
        </w:rPr>
        <w:t xml:space="preserve">), which may only be documented </w:t>
      </w:r>
      <w:proofErr w:type="spellStart"/>
      <w:r>
        <w:rPr>
          <w:lang w:val="en-US"/>
        </w:rPr>
        <w:t>some time</w:t>
      </w:r>
      <w:proofErr w:type="spellEnd"/>
      <w:r>
        <w:rPr>
          <w:lang w:val="en-US"/>
        </w:rPr>
        <w:t xml:space="preserve"> after the insult, and may also be the consequence of non-TBI etiologies. In this context, a diagnosis of TBI may be dependent on diagnostic tests (see [B] below) that are undertaken </w:t>
      </w:r>
      <w:proofErr w:type="spellStart"/>
      <w:r>
        <w:rPr>
          <w:lang w:val="en-US"/>
        </w:rPr>
        <w:t>some time</w:t>
      </w:r>
      <w:proofErr w:type="spellEnd"/>
      <w:r>
        <w:rPr>
          <w:lang w:val="en-US"/>
        </w:rPr>
        <w:t xml:space="preserve"> after the acute event.</w:t>
      </w:r>
    </w:p>
    <w:p w:rsidR="00BE78F5" w:rsidRPr="00BE78F5" w:rsidRDefault="00BE78F5" w:rsidP="00BE78F5">
      <w:pPr>
        <w:numPr>
          <w:ilvl w:val="0"/>
          <w:numId w:val="6"/>
        </w:numPr>
      </w:pPr>
      <w:r w:rsidRPr="00BE78F5">
        <w:t xml:space="preserve">Or other evidence of brain pathology: Such evidence may include visual, neuroradiologic or laboratory confirmation of damage to the brain. </w:t>
      </w:r>
    </w:p>
    <w:p w:rsidR="00BE78F5" w:rsidRDefault="00BE78F5" w:rsidP="00BE78F5">
      <w:pPr>
        <w:spacing w:line="480" w:lineRule="auto"/>
        <w:rPr>
          <w:sz w:val="20"/>
          <w:lang w:val="en-US"/>
        </w:rPr>
      </w:pPr>
      <w:r>
        <w:rPr>
          <w:lang w:val="en-US"/>
        </w:rPr>
        <w:lastRenderedPageBreak/>
        <w:t>Classically, TBI has been defined based on clinical criteria. However, modern imaging techniques (e.g. diffusion tensor MRI) show increasing sensitivity, and it is possible that other sensitive biomarkers may be developed in the future. Such diagnostic techniques may enable a diagnosis of TBI where:</w:t>
      </w:r>
    </w:p>
    <w:p w:rsidR="00BE78F5" w:rsidRDefault="00BE78F5" w:rsidP="00BE78F5">
      <w:pPr>
        <w:numPr>
          <w:ilvl w:val="0"/>
          <w:numId w:val="12"/>
        </w:numPr>
        <w:rPr>
          <w:lang w:val="en-US"/>
        </w:rPr>
      </w:pPr>
      <w:r>
        <w:rPr>
          <w:lang w:val="en-US"/>
        </w:rPr>
        <w:t xml:space="preserve">clinical consequences are subtle or delayed </w:t>
      </w:r>
    </w:p>
    <w:p w:rsidR="00BE78F5" w:rsidRDefault="00BE78F5" w:rsidP="00BE78F5">
      <w:pPr>
        <w:numPr>
          <w:ilvl w:val="0"/>
          <w:numId w:val="12"/>
        </w:numPr>
        <w:rPr>
          <w:lang w:val="en-US"/>
        </w:rPr>
      </w:pPr>
      <w:r>
        <w:rPr>
          <w:lang w:val="en-US"/>
        </w:rPr>
        <w:t>clinical diagnosis is confounded by a difficult context (e.g. battlefield TBI), or</w:t>
      </w:r>
    </w:p>
    <w:p w:rsidR="00BE78F5" w:rsidRDefault="00BE78F5" w:rsidP="00BE78F5">
      <w:pPr>
        <w:numPr>
          <w:ilvl w:val="0"/>
          <w:numId w:val="12"/>
        </w:numPr>
        <w:rPr>
          <w:lang w:val="en-US"/>
        </w:rPr>
      </w:pPr>
      <w:r>
        <w:rPr>
          <w:lang w:val="en-US"/>
        </w:rPr>
        <w:t>there is a need to differentiate TBI induced clinical signs from those due to other causes (e.g. chemical warfare)</w:t>
      </w:r>
    </w:p>
    <w:p w:rsidR="00BE78F5" w:rsidRDefault="00BE78F5" w:rsidP="00BE78F5">
      <w:pPr>
        <w:numPr>
          <w:ilvl w:val="0"/>
          <w:numId w:val="6"/>
        </w:numPr>
        <w:spacing w:before="120" w:after="60"/>
        <w:rPr>
          <w:sz w:val="20"/>
          <w:lang w:val="en-US"/>
        </w:rPr>
      </w:pPr>
      <w:r>
        <w:rPr>
          <w:lang w:val="en-US"/>
        </w:rPr>
        <w:t xml:space="preserve">Caused by an external force may include any of the following events:  </w:t>
      </w:r>
    </w:p>
    <w:p w:rsidR="00BE78F5" w:rsidRDefault="00BE78F5" w:rsidP="00BE78F5">
      <w:pPr>
        <w:numPr>
          <w:ilvl w:val="0"/>
          <w:numId w:val="13"/>
        </w:numPr>
        <w:rPr>
          <w:lang w:val="en-US"/>
        </w:rPr>
      </w:pPr>
      <w:r>
        <w:rPr>
          <w:lang w:val="en-US"/>
        </w:rPr>
        <w:t xml:space="preserve">the head being struck by an object, </w:t>
      </w:r>
    </w:p>
    <w:p w:rsidR="00BE78F5" w:rsidRDefault="00BE78F5" w:rsidP="00BE78F5">
      <w:pPr>
        <w:numPr>
          <w:ilvl w:val="0"/>
          <w:numId w:val="13"/>
        </w:numPr>
        <w:rPr>
          <w:lang w:val="en-US"/>
        </w:rPr>
      </w:pPr>
      <w:r>
        <w:rPr>
          <w:lang w:val="en-US"/>
        </w:rPr>
        <w:t xml:space="preserve">the head striking an object, </w:t>
      </w:r>
    </w:p>
    <w:p w:rsidR="00BE78F5" w:rsidRDefault="00BE78F5" w:rsidP="00BE78F5">
      <w:pPr>
        <w:numPr>
          <w:ilvl w:val="0"/>
          <w:numId w:val="13"/>
        </w:numPr>
        <w:rPr>
          <w:lang w:val="en-US"/>
        </w:rPr>
      </w:pPr>
      <w:r>
        <w:rPr>
          <w:lang w:val="en-US"/>
        </w:rPr>
        <w:t xml:space="preserve">the brain undergoing an acceleration/deceleration movement without direct external trauma to the head, </w:t>
      </w:r>
    </w:p>
    <w:p w:rsidR="00BE78F5" w:rsidRDefault="00BE78F5" w:rsidP="00BE78F5">
      <w:pPr>
        <w:numPr>
          <w:ilvl w:val="0"/>
          <w:numId w:val="13"/>
        </w:numPr>
        <w:rPr>
          <w:lang w:val="en-US"/>
        </w:rPr>
      </w:pPr>
      <w:r>
        <w:rPr>
          <w:lang w:val="en-US"/>
        </w:rPr>
        <w:t xml:space="preserve">a foreign body penetrating the brain, </w:t>
      </w:r>
    </w:p>
    <w:p w:rsidR="00BE78F5" w:rsidRDefault="00BE78F5" w:rsidP="00BE78F5">
      <w:pPr>
        <w:numPr>
          <w:ilvl w:val="0"/>
          <w:numId w:val="13"/>
        </w:numPr>
        <w:rPr>
          <w:lang w:val="en-US"/>
        </w:rPr>
      </w:pPr>
      <w:r>
        <w:rPr>
          <w:lang w:val="en-US"/>
        </w:rPr>
        <w:t xml:space="preserve">forces generated from events such as a blast or explosion, </w:t>
      </w:r>
    </w:p>
    <w:p w:rsidR="00BE78F5" w:rsidRDefault="00BE78F5" w:rsidP="00BE78F5">
      <w:pPr>
        <w:numPr>
          <w:ilvl w:val="0"/>
          <w:numId w:val="13"/>
        </w:numPr>
        <w:rPr>
          <w:lang w:val="en-US"/>
        </w:rPr>
      </w:pPr>
      <w:r>
        <w:rPr>
          <w:lang w:val="en-US"/>
        </w:rPr>
        <w:t>Or other force yet to be defined.</w:t>
      </w:r>
    </w:p>
    <w:sectPr w:rsidR="00BE78F5" w:rsidSect="003E6DFD">
      <w:headerReference w:type="default" r:id="rId7"/>
      <w:footerReference w:type="even" r:id="rId8"/>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B40" w:rsidRDefault="00D10B40" w:rsidP="003E6DFD">
      <w:r>
        <w:separator/>
      </w:r>
    </w:p>
  </w:endnote>
  <w:endnote w:type="continuationSeparator" w:id="0">
    <w:p w:rsidR="00D10B40" w:rsidRDefault="00D10B40" w:rsidP="003E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FD" w:rsidRDefault="003E6DFD" w:rsidP="003E6D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6DFD" w:rsidRDefault="003E6DFD" w:rsidP="003E6DF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FD" w:rsidRPr="00BE78F5" w:rsidRDefault="00BE78F5" w:rsidP="00BE78F5">
    <w:pPr>
      <w:pStyle w:val="Footer"/>
      <w:tabs>
        <w:tab w:val="clear" w:pos="4703"/>
      </w:tabs>
      <w:ind w:right="360"/>
    </w:pPr>
    <w:r>
      <w:t>TBI Version 2.0</w:t>
    </w:r>
    <w:r>
      <w:tab/>
    </w:r>
    <w:r w:rsidRPr="00BE78F5">
      <w:t xml:space="preserve">Page </w:t>
    </w:r>
    <w:r w:rsidRPr="00BE78F5">
      <w:rPr>
        <w:bCs/>
      </w:rPr>
      <w:fldChar w:fldCharType="begin"/>
    </w:r>
    <w:r w:rsidRPr="00BE78F5">
      <w:rPr>
        <w:bCs/>
      </w:rPr>
      <w:instrText xml:space="preserve"> PAGE  \* Arabic  \* MERGEFORMAT </w:instrText>
    </w:r>
    <w:r w:rsidRPr="00BE78F5">
      <w:rPr>
        <w:bCs/>
      </w:rPr>
      <w:fldChar w:fldCharType="separate"/>
    </w:r>
    <w:r w:rsidR="00457243">
      <w:rPr>
        <w:bCs/>
        <w:noProof/>
      </w:rPr>
      <w:t>1</w:t>
    </w:r>
    <w:r w:rsidRPr="00BE78F5">
      <w:rPr>
        <w:bCs/>
      </w:rPr>
      <w:fldChar w:fldCharType="end"/>
    </w:r>
    <w:r w:rsidRPr="00BE78F5">
      <w:t xml:space="preserve"> of </w:t>
    </w:r>
    <w:r w:rsidRPr="00BE78F5">
      <w:rPr>
        <w:bCs/>
      </w:rPr>
      <w:fldChar w:fldCharType="begin"/>
    </w:r>
    <w:r w:rsidRPr="00BE78F5">
      <w:rPr>
        <w:bCs/>
      </w:rPr>
      <w:instrText xml:space="preserve"> NUMPAGES  \* Arabic  \* MERGEFORMAT </w:instrText>
    </w:r>
    <w:r w:rsidRPr="00BE78F5">
      <w:rPr>
        <w:bCs/>
      </w:rPr>
      <w:fldChar w:fldCharType="separate"/>
    </w:r>
    <w:r w:rsidR="00457243">
      <w:rPr>
        <w:bCs/>
        <w:noProof/>
      </w:rPr>
      <w:t>2</w:t>
    </w:r>
    <w:r w:rsidRPr="00BE78F5">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B40" w:rsidRDefault="00D10B40" w:rsidP="003E6DFD">
      <w:r>
        <w:separator/>
      </w:r>
    </w:p>
  </w:footnote>
  <w:footnote w:type="continuationSeparator" w:id="0">
    <w:p w:rsidR="00D10B40" w:rsidRDefault="00D10B40" w:rsidP="003E6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F5" w:rsidRDefault="00BE78F5" w:rsidP="00BE78F5">
    <w:pPr>
      <w:pStyle w:val="Heading1"/>
      <w:rPr>
        <w:sz w:val="20"/>
        <w:szCs w:val="28"/>
        <w:lang w:val="en-US"/>
      </w:rPr>
    </w:pPr>
    <w:r>
      <w:rPr>
        <w:lang w:val="en-US"/>
      </w:rPr>
      <w:t>Traumatic Brain Injury (TBI) definition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A35E2"/>
    <w:multiLevelType w:val="hybridMultilevel"/>
    <w:tmpl w:val="93DA81D2"/>
    <w:lvl w:ilvl="0" w:tplc="04090015">
      <w:start w:val="1"/>
      <w:numFmt w:val="upperLetter"/>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1">
    <w:nsid w:val="183F5FBD"/>
    <w:multiLevelType w:val="hybridMultilevel"/>
    <w:tmpl w:val="5482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2D0383"/>
    <w:multiLevelType w:val="hybridMultilevel"/>
    <w:tmpl w:val="CD666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04D4F"/>
    <w:multiLevelType w:val="hybridMultilevel"/>
    <w:tmpl w:val="24A2A2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3C8F7DCD"/>
    <w:multiLevelType w:val="hybridMultilevel"/>
    <w:tmpl w:val="D9B6DE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6748C9"/>
    <w:multiLevelType w:val="hybridMultilevel"/>
    <w:tmpl w:val="181C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7705E0"/>
    <w:multiLevelType w:val="hybridMultilevel"/>
    <w:tmpl w:val="EBDC1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171FE3"/>
    <w:multiLevelType w:val="hybridMultilevel"/>
    <w:tmpl w:val="FC02A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BA503EA"/>
    <w:multiLevelType w:val="hybridMultilevel"/>
    <w:tmpl w:val="8E40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C917C7"/>
    <w:multiLevelType w:val="hybridMultilevel"/>
    <w:tmpl w:val="C474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0E4DE1"/>
    <w:multiLevelType w:val="hybridMultilevel"/>
    <w:tmpl w:val="FA88B6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D67F61"/>
    <w:multiLevelType w:val="hybridMultilevel"/>
    <w:tmpl w:val="ECD2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
  </w:num>
  <w:num w:numId="4">
    <w:abstractNumId w:val="6"/>
  </w:num>
  <w:num w:numId="5">
    <w:abstractNumId w:val="2"/>
  </w:num>
  <w:num w:numId="6">
    <w:abstractNumId w:val="0"/>
  </w:num>
  <w:num w:numId="7">
    <w:abstractNumId w:val="7"/>
    <w:lvlOverride w:ilvl="0"/>
    <w:lvlOverride w:ilvl="1"/>
    <w:lvlOverride w:ilvl="2"/>
    <w:lvlOverride w:ilvl="3"/>
    <w:lvlOverride w:ilvl="4"/>
    <w:lvlOverride w:ilvl="5"/>
    <w:lvlOverride w:ilvl="6"/>
    <w:lvlOverride w:ilvl="7"/>
    <w:lvlOverride w:ilvl="8"/>
  </w:num>
  <w:num w:numId="8">
    <w:abstractNumId w:val="11"/>
    <w:lvlOverride w:ilvl="0"/>
    <w:lvlOverride w:ilvl="1"/>
    <w:lvlOverride w:ilvl="2"/>
    <w:lvlOverride w:ilvl="3"/>
    <w:lvlOverride w:ilvl="4"/>
    <w:lvlOverride w:ilvl="5"/>
    <w:lvlOverride w:ilvl="6"/>
    <w:lvlOverride w:ilvl="7"/>
    <w:lvlOverride w:ilvl="8"/>
  </w:num>
  <w:num w:numId="9">
    <w:abstractNumId w:val="3"/>
    <w:lvlOverride w:ilvl="0"/>
    <w:lvlOverride w:ilvl="1"/>
    <w:lvlOverride w:ilvl="2"/>
    <w:lvlOverride w:ilvl="3"/>
    <w:lvlOverride w:ilvl="4"/>
    <w:lvlOverride w:ilvl="5"/>
    <w:lvlOverride w:ilvl="6"/>
    <w:lvlOverride w:ilvl="7"/>
    <w:lvlOverride w:ilvl="8"/>
  </w:num>
  <w:num w:numId="10">
    <w:abstractNumId w:val="0"/>
  </w:num>
  <w:num w:numId="11">
    <w:abstractNumId w:val="4"/>
  </w:num>
  <w:num w:numId="12">
    <w:abstractNumId w:val="9"/>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720"/>
    <w:rsid w:val="003E6DFD"/>
    <w:rsid w:val="00457243"/>
    <w:rsid w:val="0096646A"/>
    <w:rsid w:val="00BD5A4E"/>
    <w:rsid w:val="00BE78F5"/>
    <w:rsid w:val="00C03A91"/>
    <w:rsid w:val="00D1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76178AA-DADA-4C2A-A4C0-43AADDDAD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8F5"/>
    <w:rPr>
      <w:rFonts w:ascii="Arial" w:hAnsi="Arial"/>
      <w:sz w:val="22"/>
      <w:szCs w:val="24"/>
      <w:lang w:val="nl-NL" w:eastAsia="nl-NL"/>
    </w:rPr>
  </w:style>
  <w:style w:type="paragraph" w:styleId="Heading1">
    <w:name w:val="heading 1"/>
    <w:basedOn w:val="Normal"/>
    <w:next w:val="Normal"/>
    <w:link w:val="Heading1Char"/>
    <w:uiPriority w:val="9"/>
    <w:qFormat/>
    <w:rsid w:val="00BE78F5"/>
    <w:pPr>
      <w:keepNext/>
      <w:spacing w:before="240" w:after="60"/>
      <w:jc w:val="center"/>
      <w:outlineLvl w:val="0"/>
    </w:pPr>
    <w:rPr>
      <w:b/>
      <w:bCs/>
      <w:kern w:val="32"/>
      <w:sz w:val="28"/>
      <w:szCs w:val="32"/>
    </w:rPr>
  </w:style>
  <w:style w:type="paragraph" w:styleId="Heading2">
    <w:name w:val="heading 2"/>
    <w:basedOn w:val="Normal"/>
    <w:next w:val="Normal"/>
    <w:link w:val="Heading2Char"/>
    <w:uiPriority w:val="9"/>
    <w:qFormat/>
    <w:rsid w:val="00BE78F5"/>
    <w:pPr>
      <w:keepNext/>
      <w:spacing w:before="240" w:after="60"/>
      <w:outlineLvl w:val="1"/>
    </w:pPr>
    <w:rPr>
      <w:b/>
      <w:bCs/>
      <w:iCs/>
      <w:sz w:val="24"/>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link w:val="PlainTextChar"/>
    <w:unhideWhenUsed/>
    <w:rsid w:val="00667DA8"/>
    <w:rPr>
      <w:rFonts w:cs="Arial"/>
    </w:rPr>
  </w:style>
  <w:style w:type="character" w:customStyle="1" w:styleId="PlainTextChar">
    <w:name w:val="Plain Text Char"/>
    <w:link w:val="PlainText"/>
    <w:rsid w:val="00667DA8"/>
    <w:rPr>
      <w:rFonts w:ascii="Arial" w:hAnsi="Arial" w:cs="Arial"/>
      <w:sz w:val="24"/>
      <w:szCs w:val="24"/>
      <w:lang w:val="nl-NL" w:eastAsia="nl-NL" w:bidi="ar-SA"/>
    </w:rPr>
  </w:style>
  <w:style w:type="character" w:styleId="Hyperlink">
    <w:name w:val="Hyperlink"/>
    <w:uiPriority w:val="99"/>
    <w:unhideWhenUsed/>
    <w:rsid w:val="005E3FC9"/>
    <w:rPr>
      <w:color w:val="0000FF"/>
      <w:u w:val="single"/>
    </w:rPr>
  </w:style>
  <w:style w:type="table" w:styleId="TableGrid">
    <w:name w:val="Table Grid"/>
    <w:basedOn w:val="TableNormal"/>
    <w:uiPriority w:val="59"/>
    <w:rsid w:val="00FB17AB"/>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AC2C23"/>
    <w:rPr>
      <w:sz w:val="16"/>
      <w:szCs w:val="16"/>
    </w:rPr>
  </w:style>
  <w:style w:type="paragraph" w:styleId="CommentText">
    <w:name w:val="annotation text"/>
    <w:basedOn w:val="Normal"/>
    <w:link w:val="CommentTextChar"/>
    <w:uiPriority w:val="99"/>
    <w:semiHidden/>
    <w:unhideWhenUsed/>
    <w:rsid w:val="00AC2C23"/>
    <w:rPr>
      <w:sz w:val="20"/>
      <w:szCs w:val="20"/>
    </w:rPr>
  </w:style>
  <w:style w:type="character" w:customStyle="1" w:styleId="CommentTextChar">
    <w:name w:val="Comment Text Char"/>
    <w:link w:val="CommentText"/>
    <w:uiPriority w:val="99"/>
    <w:semiHidden/>
    <w:rsid w:val="00AC2C23"/>
    <w:rPr>
      <w:lang w:val="nl-NL" w:eastAsia="nl-NL"/>
    </w:rPr>
  </w:style>
  <w:style w:type="paragraph" w:styleId="CommentSubject">
    <w:name w:val="annotation subject"/>
    <w:basedOn w:val="CommentText"/>
    <w:next w:val="CommentText"/>
    <w:link w:val="CommentSubjectChar"/>
    <w:uiPriority w:val="99"/>
    <w:semiHidden/>
    <w:unhideWhenUsed/>
    <w:rsid w:val="00AC2C23"/>
    <w:rPr>
      <w:b/>
      <w:bCs/>
    </w:rPr>
  </w:style>
  <w:style w:type="character" w:customStyle="1" w:styleId="CommentSubjectChar">
    <w:name w:val="Comment Subject Char"/>
    <w:link w:val="CommentSubject"/>
    <w:uiPriority w:val="99"/>
    <w:semiHidden/>
    <w:rsid w:val="00AC2C23"/>
    <w:rPr>
      <w:b/>
      <w:bCs/>
      <w:lang w:val="nl-NL" w:eastAsia="nl-NL"/>
    </w:rPr>
  </w:style>
  <w:style w:type="paragraph" w:styleId="BalloonText">
    <w:name w:val="Balloon Text"/>
    <w:basedOn w:val="Normal"/>
    <w:link w:val="BalloonTextChar"/>
    <w:uiPriority w:val="99"/>
    <w:semiHidden/>
    <w:unhideWhenUsed/>
    <w:rsid w:val="00AC2C23"/>
    <w:rPr>
      <w:rFonts w:ascii="Tahoma" w:hAnsi="Tahoma" w:cs="Tahoma"/>
      <w:sz w:val="16"/>
      <w:szCs w:val="16"/>
    </w:rPr>
  </w:style>
  <w:style w:type="character" w:customStyle="1" w:styleId="BalloonTextChar">
    <w:name w:val="Balloon Text Char"/>
    <w:link w:val="BalloonText"/>
    <w:uiPriority w:val="99"/>
    <w:semiHidden/>
    <w:rsid w:val="00AC2C23"/>
    <w:rPr>
      <w:rFonts w:ascii="Tahoma" w:hAnsi="Tahoma" w:cs="Tahoma"/>
      <w:sz w:val="16"/>
      <w:szCs w:val="16"/>
      <w:lang w:val="nl-NL" w:eastAsia="nl-NL"/>
    </w:rPr>
  </w:style>
  <w:style w:type="paragraph" w:styleId="Footer">
    <w:name w:val="footer"/>
    <w:basedOn w:val="Normal"/>
    <w:rsid w:val="009154A0"/>
    <w:pPr>
      <w:tabs>
        <w:tab w:val="center" w:pos="4703"/>
        <w:tab w:val="right" w:pos="9406"/>
      </w:tabs>
    </w:pPr>
  </w:style>
  <w:style w:type="character" w:styleId="PageNumber">
    <w:name w:val="page number"/>
    <w:basedOn w:val="DefaultParagraphFont"/>
    <w:rsid w:val="009154A0"/>
  </w:style>
  <w:style w:type="character" w:customStyle="1" w:styleId="Heading2Char">
    <w:name w:val="Heading 2 Char"/>
    <w:link w:val="Heading2"/>
    <w:uiPriority w:val="9"/>
    <w:rsid w:val="00BE78F5"/>
    <w:rPr>
      <w:rFonts w:ascii="Arial" w:hAnsi="Arial"/>
      <w:b/>
      <w:bCs/>
      <w:iCs/>
      <w:sz w:val="24"/>
      <w:szCs w:val="28"/>
      <w:lang w:val="nl-NL" w:eastAsia="nl-NL"/>
    </w:rPr>
  </w:style>
  <w:style w:type="paragraph" w:styleId="ListParagraph">
    <w:name w:val="List Paragraph"/>
    <w:basedOn w:val="Normal"/>
    <w:uiPriority w:val="34"/>
    <w:qFormat/>
    <w:rsid w:val="00BE78F5"/>
    <w:pPr>
      <w:spacing w:before="120" w:after="60"/>
      <w:ind w:left="720"/>
    </w:pPr>
    <w:rPr>
      <w:sz w:val="20"/>
    </w:rPr>
  </w:style>
  <w:style w:type="paragraph" w:styleId="Header">
    <w:name w:val="header"/>
    <w:basedOn w:val="Normal"/>
    <w:link w:val="HeaderChar"/>
    <w:uiPriority w:val="99"/>
    <w:unhideWhenUsed/>
    <w:rsid w:val="00BE78F5"/>
    <w:pPr>
      <w:tabs>
        <w:tab w:val="center" w:pos="4680"/>
        <w:tab w:val="right" w:pos="9360"/>
      </w:tabs>
    </w:pPr>
  </w:style>
  <w:style w:type="character" w:customStyle="1" w:styleId="HeaderChar">
    <w:name w:val="Header Char"/>
    <w:link w:val="Header"/>
    <w:uiPriority w:val="99"/>
    <w:rsid w:val="00BE78F5"/>
    <w:rPr>
      <w:rFonts w:ascii="Arial" w:hAnsi="Arial"/>
      <w:sz w:val="22"/>
      <w:szCs w:val="24"/>
      <w:lang w:val="nl-NL" w:eastAsia="nl-NL"/>
    </w:rPr>
  </w:style>
  <w:style w:type="character" w:customStyle="1" w:styleId="Heading1Char">
    <w:name w:val="Heading 1 Char"/>
    <w:link w:val="Heading1"/>
    <w:uiPriority w:val="9"/>
    <w:rsid w:val="00BE78F5"/>
    <w:rPr>
      <w:rFonts w:ascii="Arial" w:eastAsia="Times New Roman" w:hAnsi="Arial" w:cs="Times New Roman"/>
      <w:b/>
      <w:bCs/>
      <w:kern w:val="32"/>
      <w:sz w:val="28"/>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1906">
      <w:bodyDiv w:val="1"/>
      <w:marLeft w:val="0"/>
      <w:marRight w:val="0"/>
      <w:marTop w:val="0"/>
      <w:marBottom w:val="0"/>
      <w:divBdr>
        <w:top w:val="none" w:sz="0" w:space="0" w:color="auto"/>
        <w:left w:val="none" w:sz="0" w:space="0" w:color="auto"/>
        <w:bottom w:val="none" w:sz="0" w:space="0" w:color="auto"/>
        <w:right w:val="none" w:sz="0" w:space="0" w:color="auto"/>
      </w:divBdr>
      <w:divsChild>
        <w:div w:id="1936747344">
          <w:marLeft w:val="120"/>
          <w:marRight w:val="120"/>
          <w:marTop w:val="0"/>
          <w:marBottom w:val="0"/>
          <w:divBdr>
            <w:top w:val="none" w:sz="0" w:space="0" w:color="auto"/>
            <w:left w:val="none" w:sz="0" w:space="0" w:color="auto"/>
            <w:bottom w:val="none" w:sz="0" w:space="0" w:color="auto"/>
            <w:right w:val="none" w:sz="0" w:space="0" w:color="auto"/>
          </w:divBdr>
          <w:divsChild>
            <w:div w:id="773281424">
              <w:marLeft w:val="0"/>
              <w:marRight w:val="0"/>
              <w:marTop w:val="0"/>
              <w:marBottom w:val="0"/>
              <w:divBdr>
                <w:top w:val="none" w:sz="0" w:space="0" w:color="auto"/>
                <w:left w:val="none" w:sz="0" w:space="0" w:color="auto"/>
                <w:bottom w:val="none" w:sz="0" w:space="0" w:color="auto"/>
                <w:right w:val="none" w:sz="0" w:space="0" w:color="auto"/>
              </w:divBdr>
              <w:divsChild>
                <w:div w:id="701636434">
                  <w:marLeft w:val="0"/>
                  <w:marRight w:val="0"/>
                  <w:marTop w:val="72"/>
                  <w:marBottom w:val="0"/>
                  <w:divBdr>
                    <w:top w:val="none" w:sz="0" w:space="0" w:color="auto"/>
                    <w:left w:val="none" w:sz="0" w:space="0" w:color="auto"/>
                    <w:bottom w:val="none" w:sz="0" w:space="0" w:color="auto"/>
                    <w:right w:val="none" w:sz="0" w:space="0" w:color="auto"/>
                  </w:divBdr>
                  <w:divsChild>
                    <w:div w:id="1932808889">
                      <w:marLeft w:val="0"/>
                      <w:marRight w:val="0"/>
                      <w:marTop w:val="0"/>
                      <w:marBottom w:val="0"/>
                      <w:divBdr>
                        <w:top w:val="none" w:sz="0" w:space="0" w:color="auto"/>
                        <w:left w:val="none" w:sz="0" w:space="0" w:color="auto"/>
                        <w:bottom w:val="none" w:sz="0" w:space="0" w:color="auto"/>
                        <w:right w:val="none" w:sz="0" w:space="0" w:color="auto"/>
                      </w:divBdr>
                      <w:divsChild>
                        <w:div w:id="1506483365">
                          <w:marLeft w:val="120"/>
                          <w:marRight w:val="0"/>
                          <w:marTop w:val="0"/>
                          <w:marBottom w:val="0"/>
                          <w:divBdr>
                            <w:top w:val="none" w:sz="0" w:space="0" w:color="auto"/>
                            <w:left w:val="none" w:sz="0" w:space="0" w:color="auto"/>
                            <w:bottom w:val="none" w:sz="0" w:space="0" w:color="auto"/>
                            <w:right w:val="none" w:sz="0" w:space="0" w:color="auto"/>
                          </w:divBdr>
                          <w:divsChild>
                            <w:div w:id="599799214">
                              <w:marLeft w:val="0"/>
                              <w:marRight w:val="0"/>
                              <w:marTop w:val="0"/>
                              <w:marBottom w:val="0"/>
                              <w:divBdr>
                                <w:top w:val="none" w:sz="0" w:space="0" w:color="auto"/>
                                <w:left w:val="none" w:sz="0" w:space="0" w:color="auto"/>
                                <w:bottom w:val="none" w:sz="0" w:space="0" w:color="auto"/>
                                <w:right w:val="none" w:sz="0" w:space="0" w:color="auto"/>
                              </w:divBdr>
                              <w:divsChild>
                                <w:div w:id="685525348">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262846">
      <w:bodyDiv w:val="1"/>
      <w:marLeft w:val="0"/>
      <w:marRight w:val="0"/>
      <w:marTop w:val="0"/>
      <w:marBottom w:val="0"/>
      <w:divBdr>
        <w:top w:val="none" w:sz="0" w:space="0" w:color="auto"/>
        <w:left w:val="none" w:sz="0" w:space="0" w:color="auto"/>
        <w:bottom w:val="none" w:sz="0" w:space="0" w:color="auto"/>
        <w:right w:val="none" w:sz="0" w:space="0" w:color="auto"/>
      </w:divBdr>
    </w:div>
    <w:div w:id="573587585">
      <w:bodyDiv w:val="1"/>
      <w:marLeft w:val="0"/>
      <w:marRight w:val="0"/>
      <w:marTop w:val="0"/>
      <w:marBottom w:val="0"/>
      <w:divBdr>
        <w:top w:val="none" w:sz="0" w:space="0" w:color="auto"/>
        <w:left w:val="none" w:sz="0" w:space="0" w:color="auto"/>
        <w:bottom w:val="none" w:sz="0" w:space="0" w:color="auto"/>
        <w:right w:val="none" w:sz="0" w:space="0" w:color="auto"/>
      </w:divBdr>
      <w:divsChild>
        <w:div w:id="1256094029">
          <w:marLeft w:val="120"/>
          <w:marRight w:val="120"/>
          <w:marTop w:val="0"/>
          <w:marBottom w:val="0"/>
          <w:divBdr>
            <w:top w:val="none" w:sz="0" w:space="0" w:color="auto"/>
            <w:left w:val="none" w:sz="0" w:space="0" w:color="auto"/>
            <w:bottom w:val="none" w:sz="0" w:space="0" w:color="auto"/>
            <w:right w:val="none" w:sz="0" w:space="0" w:color="auto"/>
          </w:divBdr>
          <w:divsChild>
            <w:div w:id="315652477">
              <w:marLeft w:val="0"/>
              <w:marRight w:val="0"/>
              <w:marTop w:val="0"/>
              <w:marBottom w:val="0"/>
              <w:divBdr>
                <w:top w:val="none" w:sz="0" w:space="0" w:color="auto"/>
                <w:left w:val="none" w:sz="0" w:space="0" w:color="auto"/>
                <w:bottom w:val="none" w:sz="0" w:space="0" w:color="auto"/>
                <w:right w:val="none" w:sz="0" w:space="0" w:color="auto"/>
              </w:divBdr>
              <w:divsChild>
                <w:div w:id="119035140">
                  <w:marLeft w:val="0"/>
                  <w:marRight w:val="0"/>
                  <w:marTop w:val="72"/>
                  <w:marBottom w:val="0"/>
                  <w:divBdr>
                    <w:top w:val="none" w:sz="0" w:space="0" w:color="auto"/>
                    <w:left w:val="none" w:sz="0" w:space="0" w:color="auto"/>
                    <w:bottom w:val="none" w:sz="0" w:space="0" w:color="auto"/>
                    <w:right w:val="none" w:sz="0" w:space="0" w:color="auto"/>
                  </w:divBdr>
                  <w:divsChild>
                    <w:div w:id="1350571780">
                      <w:marLeft w:val="0"/>
                      <w:marRight w:val="0"/>
                      <w:marTop w:val="0"/>
                      <w:marBottom w:val="0"/>
                      <w:divBdr>
                        <w:top w:val="none" w:sz="0" w:space="0" w:color="auto"/>
                        <w:left w:val="none" w:sz="0" w:space="0" w:color="auto"/>
                        <w:bottom w:val="none" w:sz="0" w:space="0" w:color="auto"/>
                        <w:right w:val="none" w:sz="0" w:space="0" w:color="auto"/>
                      </w:divBdr>
                      <w:divsChild>
                        <w:div w:id="1959406951">
                          <w:marLeft w:val="120"/>
                          <w:marRight w:val="0"/>
                          <w:marTop w:val="0"/>
                          <w:marBottom w:val="0"/>
                          <w:divBdr>
                            <w:top w:val="none" w:sz="0" w:space="0" w:color="auto"/>
                            <w:left w:val="none" w:sz="0" w:space="0" w:color="auto"/>
                            <w:bottom w:val="none" w:sz="0" w:space="0" w:color="auto"/>
                            <w:right w:val="none" w:sz="0" w:space="0" w:color="auto"/>
                          </w:divBdr>
                          <w:divsChild>
                            <w:div w:id="1362515760">
                              <w:marLeft w:val="0"/>
                              <w:marRight w:val="0"/>
                              <w:marTop w:val="0"/>
                              <w:marBottom w:val="0"/>
                              <w:divBdr>
                                <w:top w:val="none" w:sz="0" w:space="0" w:color="auto"/>
                                <w:left w:val="none" w:sz="0" w:space="0" w:color="auto"/>
                                <w:bottom w:val="none" w:sz="0" w:space="0" w:color="auto"/>
                                <w:right w:val="none" w:sz="0" w:space="0" w:color="auto"/>
                              </w:divBdr>
                              <w:divsChild>
                                <w:div w:id="2002269717">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286570">
      <w:bodyDiv w:val="1"/>
      <w:marLeft w:val="0"/>
      <w:marRight w:val="0"/>
      <w:marTop w:val="0"/>
      <w:marBottom w:val="0"/>
      <w:divBdr>
        <w:top w:val="none" w:sz="0" w:space="0" w:color="auto"/>
        <w:left w:val="none" w:sz="0" w:space="0" w:color="auto"/>
        <w:bottom w:val="none" w:sz="0" w:space="0" w:color="auto"/>
        <w:right w:val="none" w:sz="0" w:space="0" w:color="auto"/>
      </w:divBdr>
      <w:divsChild>
        <w:div w:id="1934050473">
          <w:marLeft w:val="120"/>
          <w:marRight w:val="120"/>
          <w:marTop w:val="0"/>
          <w:marBottom w:val="0"/>
          <w:divBdr>
            <w:top w:val="none" w:sz="0" w:space="0" w:color="auto"/>
            <w:left w:val="none" w:sz="0" w:space="0" w:color="auto"/>
            <w:bottom w:val="none" w:sz="0" w:space="0" w:color="auto"/>
            <w:right w:val="none" w:sz="0" w:space="0" w:color="auto"/>
          </w:divBdr>
          <w:divsChild>
            <w:div w:id="1306934346">
              <w:marLeft w:val="0"/>
              <w:marRight w:val="0"/>
              <w:marTop w:val="0"/>
              <w:marBottom w:val="0"/>
              <w:divBdr>
                <w:top w:val="none" w:sz="0" w:space="0" w:color="auto"/>
                <w:left w:val="none" w:sz="0" w:space="0" w:color="auto"/>
                <w:bottom w:val="none" w:sz="0" w:space="0" w:color="auto"/>
                <w:right w:val="none" w:sz="0" w:space="0" w:color="auto"/>
              </w:divBdr>
              <w:divsChild>
                <w:div w:id="1810706834">
                  <w:marLeft w:val="0"/>
                  <w:marRight w:val="0"/>
                  <w:marTop w:val="72"/>
                  <w:marBottom w:val="0"/>
                  <w:divBdr>
                    <w:top w:val="none" w:sz="0" w:space="0" w:color="auto"/>
                    <w:left w:val="none" w:sz="0" w:space="0" w:color="auto"/>
                    <w:bottom w:val="none" w:sz="0" w:space="0" w:color="auto"/>
                    <w:right w:val="none" w:sz="0" w:space="0" w:color="auto"/>
                  </w:divBdr>
                  <w:divsChild>
                    <w:div w:id="2095666692">
                      <w:marLeft w:val="0"/>
                      <w:marRight w:val="0"/>
                      <w:marTop w:val="0"/>
                      <w:marBottom w:val="0"/>
                      <w:divBdr>
                        <w:top w:val="none" w:sz="0" w:space="0" w:color="auto"/>
                        <w:left w:val="none" w:sz="0" w:space="0" w:color="auto"/>
                        <w:bottom w:val="none" w:sz="0" w:space="0" w:color="auto"/>
                        <w:right w:val="none" w:sz="0" w:space="0" w:color="auto"/>
                      </w:divBdr>
                      <w:divsChild>
                        <w:div w:id="1176502999">
                          <w:marLeft w:val="120"/>
                          <w:marRight w:val="0"/>
                          <w:marTop w:val="0"/>
                          <w:marBottom w:val="0"/>
                          <w:divBdr>
                            <w:top w:val="none" w:sz="0" w:space="0" w:color="auto"/>
                            <w:left w:val="none" w:sz="0" w:space="0" w:color="auto"/>
                            <w:bottom w:val="none" w:sz="0" w:space="0" w:color="auto"/>
                            <w:right w:val="none" w:sz="0" w:space="0" w:color="auto"/>
                          </w:divBdr>
                          <w:divsChild>
                            <w:div w:id="840239984">
                              <w:marLeft w:val="0"/>
                              <w:marRight w:val="0"/>
                              <w:marTop w:val="0"/>
                              <w:marBottom w:val="0"/>
                              <w:divBdr>
                                <w:top w:val="none" w:sz="0" w:space="0" w:color="auto"/>
                                <w:left w:val="none" w:sz="0" w:space="0" w:color="auto"/>
                                <w:bottom w:val="none" w:sz="0" w:space="0" w:color="auto"/>
                                <w:right w:val="none" w:sz="0" w:space="0" w:color="auto"/>
                              </w:divBdr>
                              <w:divsChild>
                                <w:div w:id="1709142939">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393652">
      <w:bodyDiv w:val="1"/>
      <w:marLeft w:val="0"/>
      <w:marRight w:val="0"/>
      <w:marTop w:val="0"/>
      <w:marBottom w:val="0"/>
      <w:divBdr>
        <w:top w:val="none" w:sz="0" w:space="0" w:color="auto"/>
        <w:left w:val="none" w:sz="0" w:space="0" w:color="auto"/>
        <w:bottom w:val="none" w:sz="0" w:space="0" w:color="auto"/>
        <w:right w:val="none" w:sz="0" w:space="0" w:color="auto"/>
      </w:divBdr>
      <w:divsChild>
        <w:div w:id="1691183659">
          <w:marLeft w:val="120"/>
          <w:marRight w:val="120"/>
          <w:marTop w:val="0"/>
          <w:marBottom w:val="0"/>
          <w:divBdr>
            <w:top w:val="none" w:sz="0" w:space="0" w:color="auto"/>
            <w:left w:val="none" w:sz="0" w:space="0" w:color="auto"/>
            <w:bottom w:val="none" w:sz="0" w:space="0" w:color="auto"/>
            <w:right w:val="none" w:sz="0" w:space="0" w:color="auto"/>
          </w:divBdr>
          <w:divsChild>
            <w:div w:id="1555122040">
              <w:marLeft w:val="0"/>
              <w:marRight w:val="0"/>
              <w:marTop w:val="0"/>
              <w:marBottom w:val="0"/>
              <w:divBdr>
                <w:top w:val="none" w:sz="0" w:space="0" w:color="auto"/>
                <w:left w:val="none" w:sz="0" w:space="0" w:color="auto"/>
                <w:bottom w:val="none" w:sz="0" w:space="0" w:color="auto"/>
                <w:right w:val="none" w:sz="0" w:space="0" w:color="auto"/>
              </w:divBdr>
              <w:divsChild>
                <w:div w:id="2069575659">
                  <w:marLeft w:val="0"/>
                  <w:marRight w:val="0"/>
                  <w:marTop w:val="72"/>
                  <w:marBottom w:val="0"/>
                  <w:divBdr>
                    <w:top w:val="none" w:sz="0" w:space="0" w:color="auto"/>
                    <w:left w:val="none" w:sz="0" w:space="0" w:color="auto"/>
                    <w:bottom w:val="none" w:sz="0" w:space="0" w:color="auto"/>
                    <w:right w:val="none" w:sz="0" w:space="0" w:color="auto"/>
                  </w:divBdr>
                  <w:divsChild>
                    <w:div w:id="1390298460">
                      <w:marLeft w:val="0"/>
                      <w:marRight w:val="0"/>
                      <w:marTop w:val="0"/>
                      <w:marBottom w:val="0"/>
                      <w:divBdr>
                        <w:top w:val="none" w:sz="0" w:space="0" w:color="auto"/>
                        <w:left w:val="none" w:sz="0" w:space="0" w:color="auto"/>
                        <w:bottom w:val="none" w:sz="0" w:space="0" w:color="auto"/>
                        <w:right w:val="none" w:sz="0" w:space="0" w:color="auto"/>
                      </w:divBdr>
                      <w:divsChild>
                        <w:div w:id="1187909862">
                          <w:marLeft w:val="0"/>
                          <w:marRight w:val="0"/>
                          <w:marTop w:val="240"/>
                          <w:marBottom w:val="0"/>
                          <w:divBdr>
                            <w:top w:val="none" w:sz="0" w:space="0" w:color="auto"/>
                            <w:left w:val="none" w:sz="0" w:space="0" w:color="auto"/>
                            <w:bottom w:val="none" w:sz="0" w:space="0" w:color="auto"/>
                            <w:right w:val="none" w:sz="0" w:space="0" w:color="auto"/>
                          </w:divBdr>
                          <w:divsChild>
                            <w:div w:id="467865436">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384886">
      <w:bodyDiv w:val="1"/>
      <w:marLeft w:val="0"/>
      <w:marRight w:val="0"/>
      <w:marTop w:val="0"/>
      <w:marBottom w:val="0"/>
      <w:divBdr>
        <w:top w:val="none" w:sz="0" w:space="0" w:color="auto"/>
        <w:left w:val="none" w:sz="0" w:space="0" w:color="auto"/>
        <w:bottom w:val="none" w:sz="0" w:space="0" w:color="auto"/>
        <w:right w:val="none" w:sz="0" w:space="0" w:color="auto"/>
      </w:divBdr>
      <w:divsChild>
        <w:div w:id="1434472655">
          <w:marLeft w:val="120"/>
          <w:marRight w:val="120"/>
          <w:marTop w:val="0"/>
          <w:marBottom w:val="0"/>
          <w:divBdr>
            <w:top w:val="none" w:sz="0" w:space="0" w:color="auto"/>
            <w:left w:val="none" w:sz="0" w:space="0" w:color="auto"/>
            <w:bottom w:val="none" w:sz="0" w:space="0" w:color="auto"/>
            <w:right w:val="none" w:sz="0" w:space="0" w:color="auto"/>
          </w:divBdr>
          <w:divsChild>
            <w:div w:id="498694722">
              <w:marLeft w:val="0"/>
              <w:marRight w:val="0"/>
              <w:marTop w:val="0"/>
              <w:marBottom w:val="0"/>
              <w:divBdr>
                <w:top w:val="none" w:sz="0" w:space="0" w:color="auto"/>
                <w:left w:val="none" w:sz="0" w:space="0" w:color="auto"/>
                <w:bottom w:val="none" w:sz="0" w:space="0" w:color="auto"/>
                <w:right w:val="none" w:sz="0" w:space="0" w:color="auto"/>
              </w:divBdr>
              <w:divsChild>
                <w:div w:id="1179078986">
                  <w:marLeft w:val="0"/>
                  <w:marRight w:val="0"/>
                  <w:marTop w:val="72"/>
                  <w:marBottom w:val="0"/>
                  <w:divBdr>
                    <w:top w:val="none" w:sz="0" w:space="0" w:color="auto"/>
                    <w:left w:val="none" w:sz="0" w:space="0" w:color="auto"/>
                    <w:bottom w:val="none" w:sz="0" w:space="0" w:color="auto"/>
                    <w:right w:val="none" w:sz="0" w:space="0" w:color="auto"/>
                  </w:divBdr>
                  <w:divsChild>
                    <w:div w:id="85078722">
                      <w:marLeft w:val="0"/>
                      <w:marRight w:val="0"/>
                      <w:marTop w:val="0"/>
                      <w:marBottom w:val="0"/>
                      <w:divBdr>
                        <w:top w:val="none" w:sz="0" w:space="0" w:color="auto"/>
                        <w:left w:val="none" w:sz="0" w:space="0" w:color="auto"/>
                        <w:bottom w:val="none" w:sz="0" w:space="0" w:color="auto"/>
                        <w:right w:val="none" w:sz="0" w:space="0" w:color="auto"/>
                      </w:divBdr>
                      <w:divsChild>
                        <w:div w:id="1205950864">
                          <w:marLeft w:val="120"/>
                          <w:marRight w:val="0"/>
                          <w:marTop w:val="0"/>
                          <w:marBottom w:val="0"/>
                          <w:divBdr>
                            <w:top w:val="none" w:sz="0" w:space="0" w:color="auto"/>
                            <w:left w:val="none" w:sz="0" w:space="0" w:color="auto"/>
                            <w:bottom w:val="none" w:sz="0" w:space="0" w:color="auto"/>
                            <w:right w:val="none" w:sz="0" w:space="0" w:color="auto"/>
                          </w:divBdr>
                          <w:divsChild>
                            <w:div w:id="1157913415">
                              <w:marLeft w:val="0"/>
                              <w:marRight w:val="0"/>
                              <w:marTop w:val="0"/>
                              <w:marBottom w:val="0"/>
                              <w:divBdr>
                                <w:top w:val="none" w:sz="0" w:space="0" w:color="auto"/>
                                <w:left w:val="none" w:sz="0" w:space="0" w:color="auto"/>
                                <w:bottom w:val="none" w:sz="0" w:space="0" w:color="auto"/>
                                <w:right w:val="none" w:sz="0" w:space="0" w:color="auto"/>
                              </w:divBdr>
                              <w:divsChild>
                                <w:div w:id="1451509843">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451499">
      <w:bodyDiv w:val="1"/>
      <w:marLeft w:val="0"/>
      <w:marRight w:val="0"/>
      <w:marTop w:val="0"/>
      <w:marBottom w:val="0"/>
      <w:divBdr>
        <w:top w:val="none" w:sz="0" w:space="0" w:color="auto"/>
        <w:left w:val="none" w:sz="0" w:space="0" w:color="auto"/>
        <w:bottom w:val="none" w:sz="0" w:space="0" w:color="auto"/>
        <w:right w:val="none" w:sz="0" w:space="0" w:color="auto"/>
      </w:divBdr>
      <w:divsChild>
        <w:div w:id="735204409">
          <w:marLeft w:val="120"/>
          <w:marRight w:val="120"/>
          <w:marTop w:val="0"/>
          <w:marBottom w:val="0"/>
          <w:divBdr>
            <w:top w:val="none" w:sz="0" w:space="0" w:color="auto"/>
            <w:left w:val="none" w:sz="0" w:space="0" w:color="auto"/>
            <w:bottom w:val="none" w:sz="0" w:space="0" w:color="auto"/>
            <w:right w:val="none" w:sz="0" w:space="0" w:color="auto"/>
          </w:divBdr>
          <w:divsChild>
            <w:div w:id="803962616">
              <w:marLeft w:val="0"/>
              <w:marRight w:val="0"/>
              <w:marTop w:val="0"/>
              <w:marBottom w:val="0"/>
              <w:divBdr>
                <w:top w:val="none" w:sz="0" w:space="0" w:color="auto"/>
                <w:left w:val="none" w:sz="0" w:space="0" w:color="auto"/>
                <w:bottom w:val="none" w:sz="0" w:space="0" w:color="auto"/>
                <w:right w:val="none" w:sz="0" w:space="0" w:color="auto"/>
              </w:divBdr>
              <w:divsChild>
                <w:div w:id="208491564">
                  <w:marLeft w:val="0"/>
                  <w:marRight w:val="0"/>
                  <w:marTop w:val="72"/>
                  <w:marBottom w:val="0"/>
                  <w:divBdr>
                    <w:top w:val="none" w:sz="0" w:space="0" w:color="auto"/>
                    <w:left w:val="none" w:sz="0" w:space="0" w:color="auto"/>
                    <w:bottom w:val="none" w:sz="0" w:space="0" w:color="auto"/>
                    <w:right w:val="none" w:sz="0" w:space="0" w:color="auto"/>
                  </w:divBdr>
                  <w:divsChild>
                    <w:div w:id="716391172">
                      <w:marLeft w:val="0"/>
                      <w:marRight w:val="0"/>
                      <w:marTop w:val="0"/>
                      <w:marBottom w:val="0"/>
                      <w:divBdr>
                        <w:top w:val="none" w:sz="0" w:space="0" w:color="auto"/>
                        <w:left w:val="none" w:sz="0" w:space="0" w:color="auto"/>
                        <w:bottom w:val="none" w:sz="0" w:space="0" w:color="auto"/>
                        <w:right w:val="none" w:sz="0" w:space="0" w:color="auto"/>
                      </w:divBdr>
                      <w:divsChild>
                        <w:div w:id="1361782868">
                          <w:marLeft w:val="0"/>
                          <w:marRight w:val="0"/>
                          <w:marTop w:val="240"/>
                          <w:marBottom w:val="0"/>
                          <w:divBdr>
                            <w:top w:val="none" w:sz="0" w:space="0" w:color="auto"/>
                            <w:left w:val="none" w:sz="0" w:space="0" w:color="auto"/>
                            <w:bottom w:val="none" w:sz="0" w:space="0" w:color="auto"/>
                            <w:right w:val="none" w:sz="0" w:space="0" w:color="auto"/>
                          </w:divBdr>
                          <w:divsChild>
                            <w:div w:id="1044984467">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853695">
      <w:bodyDiv w:val="1"/>
      <w:marLeft w:val="0"/>
      <w:marRight w:val="0"/>
      <w:marTop w:val="0"/>
      <w:marBottom w:val="0"/>
      <w:divBdr>
        <w:top w:val="none" w:sz="0" w:space="0" w:color="auto"/>
        <w:left w:val="none" w:sz="0" w:space="0" w:color="auto"/>
        <w:bottom w:val="none" w:sz="0" w:space="0" w:color="auto"/>
        <w:right w:val="none" w:sz="0" w:space="0" w:color="auto"/>
      </w:divBdr>
      <w:divsChild>
        <w:div w:id="23480984">
          <w:marLeft w:val="120"/>
          <w:marRight w:val="120"/>
          <w:marTop w:val="0"/>
          <w:marBottom w:val="0"/>
          <w:divBdr>
            <w:top w:val="none" w:sz="0" w:space="0" w:color="auto"/>
            <w:left w:val="none" w:sz="0" w:space="0" w:color="auto"/>
            <w:bottom w:val="none" w:sz="0" w:space="0" w:color="auto"/>
            <w:right w:val="none" w:sz="0" w:space="0" w:color="auto"/>
          </w:divBdr>
          <w:divsChild>
            <w:div w:id="1832404750">
              <w:marLeft w:val="0"/>
              <w:marRight w:val="0"/>
              <w:marTop w:val="0"/>
              <w:marBottom w:val="0"/>
              <w:divBdr>
                <w:top w:val="none" w:sz="0" w:space="0" w:color="auto"/>
                <w:left w:val="none" w:sz="0" w:space="0" w:color="auto"/>
                <w:bottom w:val="none" w:sz="0" w:space="0" w:color="auto"/>
                <w:right w:val="none" w:sz="0" w:space="0" w:color="auto"/>
              </w:divBdr>
              <w:divsChild>
                <w:div w:id="1313019822">
                  <w:marLeft w:val="0"/>
                  <w:marRight w:val="0"/>
                  <w:marTop w:val="72"/>
                  <w:marBottom w:val="0"/>
                  <w:divBdr>
                    <w:top w:val="none" w:sz="0" w:space="0" w:color="auto"/>
                    <w:left w:val="none" w:sz="0" w:space="0" w:color="auto"/>
                    <w:bottom w:val="none" w:sz="0" w:space="0" w:color="auto"/>
                    <w:right w:val="none" w:sz="0" w:space="0" w:color="auto"/>
                  </w:divBdr>
                  <w:divsChild>
                    <w:div w:id="618491950">
                      <w:marLeft w:val="0"/>
                      <w:marRight w:val="0"/>
                      <w:marTop w:val="0"/>
                      <w:marBottom w:val="0"/>
                      <w:divBdr>
                        <w:top w:val="none" w:sz="0" w:space="0" w:color="auto"/>
                        <w:left w:val="none" w:sz="0" w:space="0" w:color="auto"/>
                        <w:bottom w:val="none" w:sz="0" w:space="0" w:color="auto"/>
                        <w:right w:val="none" w:sz="0" w:space="0" w:color="auto"/>
                      </w:divBdr>
                      <w:divsChild>
                        <w:div w:id="377827656">
                          <w:marLeft w:val="120"/>
                          <w:marRight w:val="0"/>
                          <w:marTop w:val="0"/>
                          <w:marBottom w:val="0"/>
                          <w:divBdr>
                            <w:top w:val="none" w:sz="0" w:space="0" w:color="auto"/>
                            <w:left w:val="none" w:sz="0" w:space="0" w:color="auto"/>
                            <w:bottom w:val="none" w:sz="0" w:space="0" w:color="auto"/>
                            <w:right w:val="none" w:sz="0" w:space="0" w:color="auto"/>
                          </w:divBdr>
                          <w:divsChild>
                            <w:div w:id="1942447569">
                              <w:marLeft w:val="0"/>
                              <w:marRight w:val="0"/>
                              <w:marTop w:val="0"/>
                              <w:marBottom w:val="0"/>
                              <w:divBdr>
                                <w:top w:val="none" w:sz="0" w:space="0" w:color="auto"/>
                                <w:left w:val="none" w:sz="0" w:space="0" w:color="auto"/>
                                <w:bottom w:val="none" w:sz="0" w:space="0" w:color="auto"/>
                                <w:right w:val="none" w:sz="0" w:space="0" w:color="auto"/>
                              </w:divBdr>
                              <w:divsChild>
                                <w:div w:id="519003432">
                                  <w:marLeft w:val="-120"/>
                                  <w:marRight w:val="0"/>
                                  <w:marTop w:val="120"/>
                                  <w:marBottom w:val="3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2398471">
      <w:bodyDiv w:val="1"/>
      <w:marLeft w:val="0"/>
      <w:marRight w:val="0"/>
      <w:marTop w:val="0"/>
      <w:marBottom w:val="0"/>
      <w:divBdr>
        <w:top w:val="none" w:sz="0" w:space="0" w:color="auto"/>
        <w:left w:val="none" w:sz="0" w:space="0" w:color="auto"/>
        <w:bottom w:val="none" w:sz="0" w:space="0" w:color="auto"/>
        <w:right w:val="none" w:sz="0" w:space="0" w:color="auto"/>
      </w:divBdr>
    </w:div>
    <w:div w:id="150451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Definition of Traumatic Brain Injury (TBI)</vt:lpstr>
    </vt:vector>
  </TitlesOfParts>
  <Company>UZA</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 of Traumatic Brain Injury (TBI)</dc:title>
  <dc:subject>CRF</dc:subject>
  <dc:creator>NINDS</dc:creator>
  <cp:keywords>NINDS, CRF, Definition of Traumatic Brain Injury (TBI)</cp:keywords>
  <dc:description/>
  <cp:lastModifiedBy>Andy Franklin</cp:lastModifiedBy>
  <cp:revision>3</cp:revision>
  <dcterms:created xsi:type="dcterms:W3CDTF">2014-04-25T19:36:00Z</dcterms:created>
  <dcterms:modified xsi:type="dcterms:W3CDTF">2014-04-25T19:36:00Z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-1423081365</vt:i4>
  </property>
  <property fmtid="{D5CDD505-2E9C-101B-9397-08002B2CF9AE}" pid="3" name="_EmailSubject">
    <vt:lpwstr>Submission manuscripts </vt:lpwstr>
  </property>
  <property fmtid="{D5CDD505-2E9C-101B-9397-08002B2CF9AE}" pid="4" name="_AuthorEmail">
    <vt:lpwstr>Anne-Claire.Van.Harderwijk@uza.be</vt:lpwstr>
  </property>
  <property fmtid="{D5CDD505-2E9C-101B-9397-08002B2CF9AE}" pid="5" name="_AuthorEmailDisplayName">
    <vt:lpwstr>Van Harderwijk, Anne-Claire</vt:lpwstr>
  </property>
  <property fmtid="{D5CDD505-2E9C-101B-9397-08002B2CF9AE}" pid="6" name="_ReviewingToolsShownOnce">
    <vt:lpwstr/>
  </property>
</Properties>
</file>