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7FA" w:rsidRPr="00B12115" w:rsidRDefault="006D07FA" w:rsidP="00B12115">
      <w:pPr>
        <w:pStyle w:val="Heading2"/>
      </w:pPr>
      <w:r w:rsidRPr="00B12115">
        <w:t>Outcome Domain:</w:t>
      </w:r>
    </w:p>
    <w:p w:rsidR="006D07FA" w:rsidRPr="005463F4" w:rsidRDefault="006D07FA" w:rsidP="006D07FA">
      <w:pPr>
        <w:rPr>
          <w:rFonts w:cs="Calibri"/>
        </w:rPr>
      </w:pPr>
      <w:r>
        <w:rPr>
          <w:rFonts w:cs="Calibri"/>
        </w:rPr>
        <w:t>Global Outcome</w:t>
      </w:r>
    </w:p>
    <w:p w:rsidR="006D07FA" w:rsidRPr="006D07FA" w:rsidRDefault="006D07FA" w:rsidP="00B12115">
      <w:pPr>
        <w:pStyle w:val="Heading2"/>
      </w:pPr>
      <w:r w:rsidRPr="006D07FA">
        <w:t xml:space="preserve">Domain Description and Relevance in TBI: </w:t>
      </w:r>
    </w:p>
    <w:p w:rsidR="006D07FA" w:rsidRPr="00EA5A33" w:rsidRDefault="006D07FA" w:rsidP="006D07FA">
      <w:pPr>
        <w:rPr>
          <w:rFonts w:cs="Calibri"/>
        </w:rPr>
      </w:pPr>
      <w:r>
        <w:rPr>
          <w:rFonts w:cs="Calibri"/>
        </w:rPr>
        <w:t>“</w:t>
      </w:r>
      <w:r w:rsidRPr="006D07FA">
        <w:rPr>
          <w:rFonts w:cs="Calibri"/>
        </w:rPr>
        <w:t>Global outcome measures summarize the overall impact of TBI incorporating functional status, independence and role participation</w:t>
      </w:r>
      <w:r w:rsidRPr="00EA5A33">
        <w:rPr>
          <w:rFonts w:cs="Calibri"/>
        </w:rPr>
        <w:t>.</w:t>
      </w:r>
      <w:r>
        <w:rPr>
          <w:rFonts w:cs="Calibri"/>
        </w:rPr>
        <w:t>”</w:t>
      </w:r>
      <w:r w:rsidRPr="00653E0A">
        <w:rPr>
          <w:rFonts w:cs="Calibri"/>
        </w:rPr>
        <w:t xml:space="preserve"> </w:t>
      </w:r>
      <w:r>
        <w:rPr>
          <w:rFonts w:cs="Calibri"/>
        </w:rPr>
        <w:t>– Wilde et al 2010</w:t>
      </w:r>
    </w:p>
    <w:p w:rsidR="006D07FA" w:rsidRDefault="006D07FA" w:rsidP="006D07FA">
      <w:pPr>
        <w:rPr>
          <w:rFonts w:cs="Calibri"/>
        </w:rPr>
      </w:pPr>
      <w:r w:rsidRPr="00E81958">
        <w:rPr>
          <w:rFonts w:cs="Calibri"/>
          <w:b/>
        </w:rPr>
        <w:t xml:space="preserve">Table 1. </w:t>
      </w:r>
    </w:p>
    <w:p w:rsidR="00B12115" w:rsidRDefault="00B12115" w:rsidP="00B12115">
      <w:pPr>
        <w:pStyle w:val="Caption"/>
        <w:keepNext/>
      </w:pPr>
      <w:r>
        <w:t xml:space="preserve">Table </w:t>
      </w:r>
      <w:fldSimple w:instr=" SEQ Table \* ARABIC ">
        <w:r>
          <w:rPr>
            <w:noProof/>
          </w:rPr>
          <w:t>1</w:t>
        </w:r>
      </w:fldSimple>
      <w:r>
        <w:t xml:space="preserve"> </w:t>
      </w:r>
      <w:r w:rsidRPr="00FF3C20">
        <w:t>CDE Classification by Type of TBI Study and Relevant Population for Recommended Global Outcome Measures.</w:t>
      </w:r>
    </w:p>
    <w:tbl>
      <w:tblPr>
        <w:tblW w:w="9180" w:type="dxa"/>
        <w:tblInd w:w="108" w:type="dxa"/>
        <w:tblLayout w:type="fixed"/>
        <w:tblLook w:val="04A0" w:firstRow="1" w:lastRow="0" w:firstColumn="1" w:lastColumn="0" w:noHBand="0" w:noVBand="1"/>
      </w:tblPr>
      <w:tblGrid>
        <w:gridCol w:w="1890"/>
        <w:gridCol w:w="1170"/>
        <w:gridCol w:w="1530"/>
        <w:gridCol w:w="1530"/>
        <w:gridCol w:w="1530"/>
        <w:gridCol w:w="1530"/>
      </w:tblGrid>
      <w:tr w:rsidR="006D07FA" w:rsidRPr="005463F4" w:rsidTr="00B12115">
        <w:trPr>
          <w:cantSplit/>
          <w:trHeight w:val="600"/>
          <w:tblHeader/>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6D07FA" w:rsidRPr="00B12115" w:rsidRDefault="006D07FA" w:rsidP="00281768">
            <w:pPr>
              <w:spacing w:after="0" w:line="240" w:lineRule="auto"/>
              <w:jc w:val="center"/>
              <w:rPr>
                <w:rFonts w:eastAsia="Times New Roman" w:cs="Calibri"/>
                <w:bCs/>
                <w:sz w:val="20"/>
                <w:szCs w:val="20"/>
              </w:rPr>
            </w:pPr>
            <w:r w:rsidRPr="00B12115">
              <w:rPr>
                <w:rFonts w:eastAsia="Times New Roman" w:cs="Calibri"/>
                <w:bCs/>
                <w:sz w:val="20"/>
                <w:szCs w:val="20"/>
              </w:rPr>
              <w:t>Outcome Measure Name</w:t>
            </w:r>
          </w:p>
        </w:tc>
        <w:tc>
          <w:tcPr>
            <w:tcW w:w="1170" w:type="dxa"/>
            <w:tcBorders>
              <w:top w:val="single" w:sz="4" w:space="0" w:color="auto"/>
              <w:left w:val="nil"/>
              <w:bottom w:val="single" w:sz="4" w:space="0" w:color="auto"/>
              <w:right w:val="single" w:sz="4" w:space="0" w:color="auto"/>
            </w:tcBorders>
            <w:shd w:val="clear" w:color="000000" w:fill="FFFFFF"/>
            <w:hideMark/>
          </w:tcPr>
          <w:p w:rsidR="006D07FA" w:rsidRPr="00B12115" w:rsidRDefault="006D07FA" w:rsidP="00281768">
            <w:pPr>
              <w:spacing w:after="0" w:line="240" w:lineRule="auto"/>
              <w:jc w:val="center"/>
              <w:rPr>
                <w:rFonts w:eastAsia="Times New Roman" w:cs="Calibri"/>
                <w:bCs/>
                <w:sz w:val="20"/>
                <w:szCs w:val="20"/>
              </w:rPr>
            </w:pPr>
            <w:r w:rsidRPr="00B12115">
              <w:rPr>
                <w:rFonts w:eastAsia="Times New Roman" w:cs="Calibri"/>
                <w:bCs/>
                <w:sz w:val="20"/>
                <w:szCs w:val="20"/>
              </w:rPr>
              <w:t>Relevant TBI Population</w:t>
            </w:r>
          </w:p>
        </w:tc>
        <w:tc>
          <w:tcPr>
            <w:tcW w:w="1530" w:type="dxa"/>
            <w:tcBorders>
              <w:top w:val="single" w:sz="4" w:space="0" w:color="auto"/>
              <w:left w:val="nil"/>
              <w:bottom w:val="single" w:sz="4" w:space="0" w:color="auto"/>
              <w:right w:val="single" w:sz="4" w:space="0" w:color="auto"/>
            </w:tcBorders>
            <w:shd w:val="clear" w:color="000000" w:fill="FFFFFF"/>
            <w:hideMark/>
          </w:tcPr>
          <w:p w:rsidR="006D07FA" w:rsidRPr="00B12115" w:rsidRDefault="006D07FA" w:rsidP="00281768">
            <w:pPr>
              <w:spacing w:after="0" w:line="240" w:lineRule="auto"/>
              <w:jc w:val="center"/>
              <w:rPr>
                <w:rFonts w:eastAsia="Times New Roman" w:cs="Calibri"/>
                <w:bCs/>
                <w:sz w:val="20"/>
                <w:szCs w:val="20"/>
              </w:rPr>
            </w:pPr>
            <w:r w:rsidRPr="00B12115">
              <w:rPr>
                <w:rFonts w:eastAsia="Times New Roman" w:cs="Calibri"/>
                <w:bCs/>
                <w:sz w:val="20"/>
                <w:szCs w:val="20"/>
              </w:rPr>
              <w:t>Acute Hospitalized</w:t>
            </w:r>
          </w:p>
        </w:tc>
        <w:tc>
          <w:tcPr>
            <w:tcW w:w="1530" w:type="dxa"/>
            <w:tcBorders>
              <w:top w:val="single" w:sz="4" w:space="0" w:color="auto"/>
              <w:left w:val="nil"/>
              <w:bottom w:val="single" w:sz="4" w:space="0" w:color="auto"/>
              <w:right w:val="single" w:sz="4" w:space="0" w:color="auto"/>
            </w:tcBorders>
            <w:shd w:val="clear" w:color="000000" w:fill="FFFFFF"/>
            <w:hideMark/>
          </w:tcPr>
          <w:p w:rsidR="006D07FA" w:rsidRPr="00B12115" w:rsidRDefault="006D07FA" w:rsidP="00281768">
            <w:pPr>
              <w:spacing w:after="0" w:line="240" w:lineRule="auto"/>
              <w:jc w:val="center"/>
              <w:rPr>
                <w:rFonts w:eastAsia="Times New Roman" w:cs="Calibri"/>
                <w:bCs/>
                <w:sz w:val="20"/>
                <w:szCs w:val="20"/>
              </w:rPr>
            </w:pPr>
            <w:r w:rsidRPr="00B12115">
              <w:rPr>
                <w:rFonts w:eastAsia="Times New Roman" w:cs="Calibri"/>
                <w:bCs/>
                <w:sz w:val="20"/>
                <w:szCs w:val="20"/>
              </w:rPr>
              <w:t>Moderate/ Severe Rehabilitation</w:t>
            </w:r>
          </w:p>
        </w:tc>
        <w:tc>
          <w:tcPr>
            <w:tcW w:w="1530" w:type="dxa"/>
            <w:tcBorders>
              <w:top w:val="single" w:sz="4" w:space="0" w:color="auto"/>
              <w:left w:val="nil"/>
              <w:bottom w:val="single" w:sz="4" w:space="0" w:color="auto"/>
              <w:right w:val="single" w:sz="4" w:space="0" w:color="auto"/>
            </w:tcBorders>
            <w:shd w:val="clear" w:color="000000" w:fill="FFFFFF"/>
          </w:tcPr>
          <w:p w:rsidR="006D07FA" w:rsidRPr="00B12115" w:rsidRDefault="006D07FA" w:rsidP="00281768">
            <w:pPr>
              <w:spacing w:after="0" w:line="240" w:lineRule="auto"/>
              <w:jc w:val="center"/>
              <w:rPr>
                <w:rFonts w:eastAsia="Times New Roman" w:cs="Calibri"/>
                <w:bCs/>
                <w:sz w:val="20"/>
                <w:szCs w:val="20"/>
              </w:rPr>
            </w:pPr>
            <w:r w:rsidRPr="00B12115">
              <w:rPr>
                <w:rFonts w:eastAsia="Times New Roman" w:cs="Calibri"/>
                <w:bCs/>
                <w:sz w:val="20"/>
                <w:szCs w:val="20"/>
              </w:rPr>
              <w:t>Concussion/ Mild TBI</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6D07FA" w:rsidRPr="00B12115" w:rsidRDefault="006D07FA" w:rsidP="00281768">
            <w:pPr>
              <w:spacing w:after="0" w:line="240" w:lineRule="auto"/>
              <w:jc w:val="center"/>
              <w:rPr>
                <w:rFonts w:eastAsia="Times New Roman" w:cs="Calibri"/>
                <w:bCs/>
                <w:sz w:val="20"/>
                <w:szCs w:val="20"/>
              </w:rPr>
            </w:pPr>
            <w:r w:rsidRPr="00B12115">
              <w:rPr>
                <w:rFonts w:eastAsia="Times New Roman" w:cs="Calibri"/>
                <w:bCs/>
                <w:sz w:val="20"/>
                <w:szCs w:val="20"/>
              </w:rPr>
              <w:t>Epidemiology</w:t>
            </w:r>
          </w:p>
        </w:tc>
      </w:tr>
      <w:tr w:rsidR="006D07FA" w:rsidRPr="006D07FA" w:rsidTr="00B12115">
        <w:trPr>
          <w:cantSplit/>
          <w:trHeight w:val="600"/>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6D07FA" w:rsidRPr="006D07FA" w:rsidRDefault="006D07FA" w:rsidP="006D07FA">
            <w:pPr>
              <w:spacing w:after="0" w:line="240" w:lineRule="auto"/>
              <w:jc w:val="center"/>
              <w:rPr>
                <w:rFonts w:eastAsia="Times New Roman" w:cs="Calibri"/>
                <w:bCs/>
                <w:sz w:val="20"/>
                <w:szCs w:val="20"/>
              </w:rPr>
            </w:pPr>
            <w:r w:rsidRPr="006D07FA">
              <w:rPr>
                <w:rFonts w:eastAsia="Times New Roman" w:cs="Calibri"/>
                <w:bCs/>
                <w:sz w:val="20"/>
                <w:szCs w:val="20"/>
              </w:rPr>
              <w:t>Disability Rating Scale (DRS)</w:t>
            </w:r>
          </w:p>
        </w:tc>
        <w:tc>
          <w:tcPr>
            <w:tcW w:w="1170" w:type="dxa"/>
            <w:tcBorders>
              <w:top w:val="single" w:sz="4" w:space="0" w:color="auto"/>
              <w:left w:val="nil"/>
              <w:bottom w:val="single" w:sz="4" w:space="0" w:color="auto"/>
              <w:right w:val="single" w:sz="4" w:space="0" w:color="auto"/>
            </w:tcBorders>
            <w:shd w:val="clear" w:color="000000" w:fill="FFFFFF"/>
            <w:hideMark/>
          </w:tcPr>
          <w:p w:rsidR="006D07FA" w:rsidRPr="006D07FA" w:rsidRDefault="006D07FA" w:rsidP="006D07FA">
            <w:pPr>
              <w:spacing w:after="0" w:line="240" w:lineRule="auto"/>
              <w:jc w:val="center"/>
              <w:rPr>
                <w:rFonts w:eastAsia="Times New Roman" w:cs="Calibri"/>
                <w:bCs/>
                <w:sz w:val="20"/>
                <w:szCs w:val="20"/>
              </w:rPr>
            </w:pPr>
            <w:r w:rsidRPr="006D07FA">
              <w:rPr>
                <w:rFonts w:eastAsia="Times New Roman" w:cs="Calibri"/>
                <w:bCs/>
                <w:sz w:val="20"/>
                <w:szCs w:val="20"/>
              </w:rPr>
              <w:t xml:space="preserve">Adult </w:t>
            </w:r>
          </w:p>
        </w:tc>
        <w:tc>
          <w:tcPr>
            <w:tcW w:w="1530" w:type="dxa"/>
            <w:tcBorders>
              <w:top w:val="single" w:sz="4" w:space="0" w:color="auto"/>
              <w:left w:val="nil"/>
              <w:bottom w:val="single" w:sz="4" w:space="0" w:color="auto"/>
              <w:right w:val="single" w:sz="4" w:space="0" w:color="auto"/>
            </w:tcBorders>
            <w:shd w:val="clear" w:color="000000" w:fill="FFFFFF"/>
            <w:hideMark/>
          </w:tcPr>
          <w:p w:rsidR="006D07FA" w:rsidRPr="006D07FA" w:rsidRDefault="006D07FA" w:rsidP="006D07FA">
            <w:pPr>
              <w:spacing w:after="0" w:line="240" w:lineRule="auto"/>
              <w:jc w:val="center"/>
              <w:rPr>
                <w:rFonts w:eastAsia="Times New Roman" w:cs="Calibri"/>
                <w:bCs/>
                <w:sz w:val="20"/>
                <w:szCs w:val="20"/>
              </w:rPr>
            </w:pPr>
            <w:r w:rsidRPr="006D07FA">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hideMark/>
          </w:tcPr>
          <w:p w:rsidR="006D07FA" w:rsidRPr="006D07FA" w:rsidRDefault="006D07FA" w:rsidP="006D07FA">
            <w:pPr>
              <w:spacing w:after="0" w:line="240" w:lineRule="auto"/>
              <w:jc w:val="center"/>
              <w:rPr>
                <w:rFonts w:eastAsia="Times New Roman" w:cs="Calibri"/>
                <w:bCs/>
                <w:sz w:val="20"/>
                <w:szCs w:val="20"/>
              </w:rPr>
            </w:pPr>
            <w:r w:rsidRPr="006D07FA">
              <w:rPr>
                <w:rFonts w:eastAsia="Times New Roman" w:cs="Calibri"/>
                <w:bCs/>
                <w:sz w:val="20"/>
                <w:szCs w:val="20"/>
              </w:rPr>
              <w:t>Basic</w:t>
            </w:r>
          </w:p>
        </w:tc>
        <w:tc>
          <w:tcPr>
            <w:tcW w:w="1530" w:type="dxa"/>
            <w:tcBorders>
              <w:top w:val="single" w:sz="4" w:space="0" w:color="auto"/>
              <w:left w:val="nil"/>
              <w:bottom w:val="single" w:sz="4" w:space="0" w:color="auto"/>
              <w:right w:val="single" w:sz="4" w:space="0" w:color="auto"/>
            </w:tcBorders>
            <w:shd w:val="clear" w:color="000000" w:fill="FFFFFF"/>
          </w:tcPr>
          <w:p w:rsidR="006D07FA" w:rsidRPr="006D07FA" w:rsidRDefault="006D07FA" w:rsidP="006D07FA">
            <w:pPr>
              <w:spacing w:after="0" w:line="240" w:lineRule="auto"/>
              <w:jc w:val="center"/>
              <w:rPr>
                <w:rFonts w:eastAsia="Times New Roman" w:cs="Calibri"/>
                <w:bCs/>
                <w:sz w:val="20"/>
                <w:szCs w:val="20"/>
              </w:rPr>
            </w:pPr>
            <w:r w:rsidRPr="006D07FA">
              <w:rPr>
                <w:rFonts w:eastAsia="Times New Roman" w:cs="Calibri"/>
                <w:bCs/>
                <w:sz w:val="20"/>
                <w:szCs w:val="20"/>
              </w:rPr>
              <w:t>Supplemental</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6D07FA" w:rsidRPr="006D07FA" w:rsidRDefault="006D07FA" w:rsidP="006D07FA">
            <w:pPr>
              <w:spacing w:after="0" w:line="240" w:lineRule="auto"/>
              <w:jc w:val="center"/>
              <w:rPr>
                <w:rFonts w:eastAsia="Times New Roman" w:cs="Calibri"/>
                <w:bCs/>
                <w:sz w:val="20"/>
                <w:szCs w:val="20"/>
              </w:rPr>
            </w:pPr>
            <w:r w:rsidRPr="006D07FA">
              <w:rPr>
                <w:rFonts w:eastAsia="Times New Roman" w:cs="Calibri"/>
                <w:bCs/>
                <w:sz w:val="20"/>
                <w:szCs w:val="20"/>
              </w:rPr>
              <w:t>Supplemental</w:t>
            </w:r>
          </w:p>
        </w:tc>
      </w:tr>
      <w:tr w:rsidR="006D07FA" w:rsidRPr="006D07FA" w:rsidTr="00B12115">
        <w:trPr>
          <w:cantSplit/>
          <w:trHeight w:val="600"/>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6D07FA" w:rsidRPr="006D07FA" w:rsidRDefault="006D07FA" w:rsidP="006D07FA">
            <w:pPr>
              <w:spacing w:after="0" w:line="240" w:lineRule="auto"/>
              <w:jc w:val="center"/>
              <w:rPr>
                <w:rFonts w:eastAsia="Times New Roman" w:cs="Calibri"/>
                <w:bCs/>
                <w:sz w:val="20"/>
                <w:szCs w:val="20"/>
              </w:rPr>
            </w:pPr>
            <w:r w:rsidRPr="006D07FA">
              <w:rPr>
                <w:rFonts w:eastAsia="Times New Roman" w:cs="Calibri"/>
                <w:bCs/>
                <w:sz w:val="20"/>
                <w:szCs w:val="20"/>
              </w:rPr>
              <w:t>Glasgow Outcome Scale</w:t>
            </w:r>
          </w:p>
        </w:tc>
        <w:tc>
          <w:tcPr>
            <w:tcW w:w="1170" w:type="dxa"/>
            <w:tcBorders>
              <w:top w:val="single" w:sz="4" w:space="0" w:color="auto"/>
              <w:left w:val="nil"/>
              <w:bottom w:val="single" w:sz="4" w:space="0" w:color="auto"/>
              <w:right w:val="single" w:sz="4" w:space="0" w:color="auto"/>
            </w:tcBorders>
            <w:shd w:val="clear" w:color="000000" w:fill="FFFFFF"/>
            <w:hideMark/>
          </w:tcPr>
          <w:p w:rsidR="006D07FA" w:rsidRPr="006D07FA" w:rsidRDefault="006D07FA" w:rsidP="006D07FA">
            <w:pPr>
              <w:spacing w:after="0" w:line="240" w:lineRule="auto"/>
              <w:jc w:val="center"/>
              <w:rPr>
                <w:rFonts w:eastAsia="Times New Roman" w:cs="Calibri"/>
                <w:bCs/>
                <w:sz w:val="20"/>
                <w:szCs w:val="20"/>
              </w:rPr>
            </w:pPr>
            <w:r w:rsidRPr="006D07FA">
              <w:rPr>
                <w:rFonts w:eastAsia="Times New Roman" w:cs="Calibri"/>
                <w:bCs/>
                <w:sz w:val="20"/>
                <w:szCs w:val="20"/>
              </w:rPr>
              <w:t xml:space="preserve">Adult </w:t>
            </w:r>
          </w:p>
        </w:tc>
        <w:tc>
          <w:tcPr>
            <w:tcW w:w="1530" w:type="dxa"/>
            <w:tcBorders>
              <w:top w:val="single" w:sz="4" w:space="0" w:color="auto"/>
              <w:left w:val="nil"/>
              <w:bottom w:val="single" w:sz="4" w:space="0" w:color="auto"/>
              <w:right w:val="single" w:sz="4" w:space="0" w:color="auto"/>
            </w:tcBorders>
            <w:shd w:val="clear" w:color="000000" w:fill="FFFFFF"/>
            <w:hideMark/>
          </w:tcPr>
          <w:p w:rsidR="006D07FA" w:rsidRPr="006D07FA" w:rsidRDefault="006D07FA" w:rsidP="006D07FA">
            <w:pPr>
              <w:spacing w:after="0" w:line="240" w:lineRule="auto"/>
              <w:jc w:val="center"/>
              <w:rPr>
                <w:rFonts w:eastAsia="Times New Roman" w:cs="Calibri"/>
                <w:bCs/>
                <w:sz w:val="20"/>
                <w:szCs w:val="20"/>
              </w:rPr>
            </w:pPr>
            <w:r w:rsidRPr="006D07FA">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hideMark/>
          </w:tcPr>
          <w:p w:rsidR="006D07FA" w:rsidRPr="006D07FA" w:rsidRDefault="006D07FA" w:rsidP="006D07FA">
            <w:pPr>
              <w:spacing w:after="0" w:line="240" w:lineRule="auto"/>
              <w:jc w:val="center"/>
              <w:rPr>
                <w:rFonts w:eastAsia="Times New Roman" w:cs="Calibri"/>
                <w:bCs/>
                <w:sz w:val="20"/>
                <w:szCs w:val="20"/>
              </w:rPr>
            </w:pPr>
            <w:r w:rsidRPr="006D07FA">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tcPr>
          <w:p w:rsidR="006D07FA" w:rsidRPr="006D07FA" w:rsidRDefault="006D07FA" w:rsidP="006D07FA">
            <w:pPr>
              <w:spacing w:after="0" w:line="240" w:lineRule="auto"/>
              <w:jc w:val="center"/>
              <w:rPr>
                <w:rFonts w:eastAsia="Times New Roman" w:cs="Calibri"/>
                <w:bCs/>
                <w:sz w:val="20"/>
                <w:szCs w:val="20"/>
              </w:rPr>
            </w:pPr>
            <w:r w:rsidRPr="006D07FA">
              <w:rPr>
                <w:rFonts w:eastAsia="Times New Roman" w:cs="Calibri"/>
                <w:bCs/>
                <w:sz w:val="20"/>
                <w:szCs w:val="20"/>
              </w:rPr>
              <w:t>Supplemental</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6D07FA" w:rsidRPr="006D07FA" w:rsidRDefault="006D07FA" w:rsidP="006D07FA">
            <w:pPr>
              <w:spacing w:after="0" w:line="240" w:lineRule="auto"/>
              <w:jc w:val="center"/>
              <w:rPr>
                <w:rFonts w:eastAsia="Times New Roman" w:cs="Calibri"/>
                <w:bCs/>
                <w:sz w:val="20"/>
                <w:szCs w:val="20"/>
              </w:rPr>
            </w:pPr>
            <w:r w:rsidRPr="006D07FA">
              <w:rPr>
                <w:rFonts w:eastAsia="Times New Roman" w:cs="Calibri"/>
                <w:bCs/>
                <w:sz w:val="20"/>
                <w:szCs w:val="20"/>
              </w:rPr>
              <w:t>Supplemental</w:t>
            </w:r>
          </w:p>
        </w:tc>
      </w:tr>
      <w:tr w:rsidR="006D07FA" w:rsidRPr="006D07FA" w:rsidTr="00B12115">
        <w:trPr>
          <w:cantSplit/>
          <w:trHeight w:val="600"/>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6D07FA" w:rsidRPr="006D07FA" w:rsidRDefault="006D07FA" w:rsidP="006D07FA">
            <w:pPr>
              <w:spacing w:after="0" w:line="240" w:lineRule="auto"/>
              <w:jc w:val="center"/>
              <w:rPr>
                <w:rFonts w:eastAsia="Times New Roman" w:cs="Calibri"/>
                <w:bCs/>
                <w:sz w:val="20"/>
                <w:szCs w:val="20"/>
              </w:rPr>
            </w:pPr>
            <w:r w:rsidRPr="006D07FA">
              <w:rPr>
                <w:rFonts w:eastAsia="Times New Roman" w:cs="Calibri"/>
                <w:bCs/>
                <w:sz w:val="20"/>
                <w:szCs w:val="20"/>
              </w:rPr>
              <w:t>Glasgow Outcome Scale – Extended (GOSE)</w:t>
            </w:r>
          </w:p>
        </w:tc>
        <w:tc>
          <w:tcPr>
            <w:tcW w:w="1170" w:type="dxa"/>
            <w:tcBorders>
              <w:top w:val="single" w:sz="4" w:space="0" w:color="auto"/>
              <w:left w:val="nil"/>
              <w:bottom w:val="single" w:sz="4" w:space="0" w:color="auto"/>
              <w:right w:val="single" w:sz="4" w:space="0" w:color="auto"/>
            </w:tcBorders>
            <w:shd w:val="clear" w:color="000000" w:fill="FFFFFF"/>
            <w:hideMark/>
          </w:tcPr>
          <w:p w:rsidR="006D07FA" w:rsidRPr="006D07FA" w:rsidRDefault="006D07FA" w:rsidP="006D07FA">
            <w:pPr>
              <w:spacing w:after="0" w:line="240" w:lineRule="auto"/>
              <w:jc w:val="center"/>
              <w:rPr>
                <w:rFonts w:eastAsia="Times New Roman" w:cs="Calibri"/>
                <w:bCs/>
                <w:sz w:val="20"/>
                <w:szCs w:val="20"/>
              </w:rPr>
            </w:pPr>
            <w:r w:rsidRPr="006D07FA">
              <w:rPr>
                <w:rFonts w:eastAsia="Times New Roman" w:cs="Calibri"/>
                <w:bCs/>
                <w:sz w:val="20"/>
                <w:szCs w:val="20"/>
              </w:rPr>
              <w:t xml:space="preserve">Adult </w:t>
            </w:r>
          </w:p>
        </w:tc>
        <w:tc>
          <w:tcPr>
            <w:tcW w:w="1530" w:type="dxa"/>
            <w:tcBorders>
              <w:top w:val="single" w:sz="4" w:space="0" w:color="auto"/>
              <w:left w:val="nil"/>
              <w:bottom w:val="single" w:sz="4" w:space="0" w:color="auto"/>
              <w:right w:val="single" w:sz="4" w:space="0" w:color="auto"/>
            </w:tcBorders>
            <w:shd w:val="clear" w:color="000000" w:fill="FFFFFF"/>
            <w:hideMark/>
          </w:tcPr>
          <w:p w:rsidR="006D07FA" w:rsidRPr="006D07FA" w:rsidRDefault="006D07FA" w:rsidP="006D07FA">
            <w:pPr>
              <w:spacing w:after="0" w:line="240" w:lineRule="auto"/>
              <w:jc w:val="center"/>
              <w:rPr>
                <w:rFonts w:eastAsia="Times New Roman" w:cs="Calibri"/>
                <w:bCs/>
                <w:sz w:val="20"/>
                <w:szCs w:val="20"/>
              </w:rPr>
            </w:pPr>
            <w:r w:rsidRPr="006D07FA">
              <w:rPr>
                <w:rFonts w:eastAsia="Times New Roman" w:cs="Calibri"/>
                <w:bCs/>
                <w:sz w:val="20"/>
                <w:szCs w:val="20"/>
              </w:rPr>
              <w:t>Core</w:t>
            </w:r>
          </w:p>
        </w:tc>
        <w:tc>
          <w:tcPr>
            <w:tcW w:w="1530" w:type="dxa"/>
            <w:tcBorders>
              <w:top w:val="single" w:sz="4" w:space="0" w:color="auto"/>
              <w:left w:val="nil"/>
              <w:bottom w:val="single" w:sz="4" w:space="0" w:color="auto"/>
              <w:right w:val="single" w:sz="4" w:space="0" w:color="auto"/>
            </w:tcBorders>
            <w:shd w:val="clear" w:color="000000" w:fill="FFFFFF"/>
            <w:hideMark/>
          </w:tcPr>
          <w:p w:rsidR="006D07FA" w:rsidRPr="006D07FA" w:rsidRDefault="006D07FA" w:rsidP="006D07FA">
            <w:pPr>
              <w:spacing w:after="0" w:line="240" w:lineRule="auto"/>
              <w:jc w:val="center"/>
              <w:rPr>
                <w:rFonts w:eastAsia="Times New Roman" w:cs="Calibri"/>
                <w:bCs/>
                <w:sz w:val="20"/>
                <w:szCs w:val="20"/>
              </w:rPr>
            </w:pPr>
            <w:r w:rsidRPr="006D07FA">
              <w:rPr>
                <w:rFonts w:eastAsia="Times New Roman" w:cs="Calibri"/>
                <w:bCs/>
                <w:sz w:val="20"/>
                <w:szCs w:val="20"/>
              </w:rPr>
              <w:t>Core</w:t>
            </w:r>
          </w:p>
        </w:tc>
        <w:tc>
          <w:tcPr>
            <w:tcW w:w="1530" w:type="dxa"/>
            <w:tcBorders>
              <w:top w:val="single" w:sz="4" w:space="0" w:color="auto"/>
              <w:left w:val="nil"/>
              <w:bottom w:val="single" w:sz="4" w:space="0" w:color="auto"/>
              <w:right w:val="single" w:sz="4" w:space="0" w:color="auto"/>
            </w:tcBorders>
            <w:shd w:val="clear" w:color="000000" w:fill="FFFFFF"/>
          </w:tcPr>
          <w:p w:rsidR="006D07FA" w:rsidRPr="006D07FA" w:rsidRDefault="006D07FA" w:rsidP="006D07FA">
            <w:pPr>
              <w:spacing w:after="0" w:line="240" w:lineRule="auto"/>
              <w:jc w:val="center"/>
              <w:rPr>
                <w:rFonts w:eastAsia="Times New Roman" w:cs="Calibri"/>
                <w:bCs/>
                <w:sz w:val="20"/>
                <w:szCs w:val="20"/>
              </w:rPr>
            </w:pPr>
            <w:r w:rsidRPr="006D07FA">
              <w:rPr>
                <w:rFonts w:eastAsia="Times New Roman" w:cs="Calibri"/>
                <w:bCs/>
                <w:sz w:val="20"/>
                <w:szCs w:val="20"/>
              </w:rPr>
              <w:t>Core</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6D07FA" w:rsidRPr="006D07FA" w:rsidRDefault="006D07FA" w:rsidP="006D07FA">
            <w:pPr>
              <w:spacing w:after="0" w:line="240" w:lineRule="auto"/>
              <w:jc w:val="center"/>
              <w:rPr>
                <w:rFonts w:eastAsia="Times New Roman" w:cs="Calibri"/>
                <w:bCs/>
                <w:sz w:val="20"/>
                <w:szCs w:val="20"/>
              </w:rPr>
            </w:pPr>
            <w:r w:rsidRPr="006D07FA">
              <w:rPr>
                <w:rFonts w:eastAsia="Times New Roman" w:cs="Calibri"/>
                <w:bCs/>
                <w:sz w:val="20"/>
                <w:szCs w:val="20"/>
              </w:rPr>
              <w:t>Core</w:t>
            </w:r>
          </w:p>
        </w:tc>
      </w:tr>
      <w:tr w:rsidR="006D07FA" w:rsidRPr="006D07FA" w:rsidTr="00B12115">
        <w:trPr>
          <w:cantSplit/>
          <w:trHeight w:val="600"/>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6D07FA" w:rsidRPr="006D07FA" w:rsidRDefault="006D07FA" w:rsidP="006D07FA">
            <w:pPr>
              <w:spacing w:after="0" w:line="240" w:lineRule="auto"/>
              <w:jc w:val="center"/>
              <w:rPr>
                <w:rFonts w:eastAsia="Times New Roman" w:cs="Calibri"/>
                <w:bCs/>
                <w:sz w:val="20"/>
                <w:szCs w:val="20"/>
              </w:rPr>
            </w:pPr>
            <w:r w:rsidRPr="006D07FA">
              <w:rPr>
                <w:rFonts w:eastAsia="Times New Roman" w:cs="Calibri"/>
                <w:bCs/>
                <w:sz w:val="20"/>
                <w:szCs w:val="20"/>
              </w:rPr>
              <w:t xml:space="preserve">Glasgow Outcome Scale – Extended Pediatric Revision (GOS-E </w:t>
            </w:r>
            <w:proofErr w:type="spellStart"/>
            <w:r w:rsidRPr="006D07FA">
              <w:rPr>
                <w:rFonts w:eastAsia="Times New Roman" w:cs="Calibri"/>
                <w:bCs/>
                <w:sz w:val="20"/>
                <w:szCs w:val="20"/>
              </w:rPr>
              <w:t>Peds</w:t>
            </w:r>
            <w:proofErr w:type="spellEnd"/>
            <w:r w:rsidRPr="006D07FA">
              <w:rPr>
                <w:rFonts w:eastAsia="Times New Roman" w:cs="Calibri"/>
                <w:bCs/>
                <w:sz w:val="20"/>
                <w:szCs w:val="20"/>
              </w:rPr>
              <w:t>)</w:t>
            </w:r>
          </w:p>
        </w:tc>
        <w:tc>
          <w:tcPr>
            <w:tcW w:w="1170" w:type="dxa"/>
            <w:tcBorders>
              <w:top w:val="single" w:sz="4" w:space="0" w:color="auto"/>
              <w:left w:val="nil"/>
              <w:bottom w:val="single" w:sz="4" w:space="0" w:color="auto"/>
              <w:right w:val="single" w:sz="4" w:space="0" w:color="auto"/>
            </w:tcBorders>
            <w:shd w:val="clear" w:color="000000" w:fill="FFFFFF"/>
            <w:hideMark/>
          </w:tcPr>
          <w:p w:rsidR="006D07FA" w:rsidRPr="006D07FA" w:rsidRDefault="006D07FA" w:rsidP="006D07FA">
            <w:pPr>
              <w:spacing w:after="0" w:line="240" w:lineRule="auto"/>
              <w:jc w:val="center"/>
              <w:rPr>
                <w:rFonts w:eastAsia="Times New Roman" w:cs="Calibri"/>
                <w:bCs/>
                <w:sz w:val="20"/>
                <w:szCs w:val="20"/>
              </w:rPr>
            </w:pPr>
            <w:r w:rsidRPr="006D07FA">
              <w:rPr>
                <w:rFonts w:eastAsia="Times New Roman" w:cs="Calibri"/>
                <w:bCs/>
                <w:sz w:val="20"/>
                <w:szCs w:val="20"/>
              </w:rPr>
              <w:t xml:space="preserve">Pediatric </w:t>
            </w:r>
          </w:p>
        </w:tc>
        <w:tc>
          <w:tcPr>
            <w:tcW w:w="1530" w:type="dxa"/>
            <w:tcBorders>
              <w:top w:val="single" w:sz="4" w:space="0" w:color="auto"/>
              <w:left w:val="nil"/>
              <w:bottom w:val="single" w:sz="4" w:space="0" w:color="auto"/>
              <w:right w:val="single" w:sz="4" w:space="0" w:color="auto"/>
            </w:tcBorders>
            <w:shd w:val="clear" w:color="000000" w:fill="FFFFFF"/>
            <w:hideMark/>
          </w:tcPr>
          <w:p w:rsidR="006D07FA" w:rsidRPr="006D07FA" w:rsidRDefault="006D07FA" w:rsidP="006D07FA">
            <w:pPr>
              <w:spacing w:after="0" w:line="240" w:lineRule="auto"/>
              <w:jc w:val="center"/>
              <w:rPr>
                <w:rFonts w:eastAsia="Times New Roman" w:cs="Calibri"/>
                <w:bCs/>
                <w:sz w:val="20"/>
                <w:szCs w:val="20"/>
              </w:rPr>
            </w:pPr>
            <w:r w:rsidRPr="006D07FA">
              <w:rPr>
                <w:rFonts w:eastAsia="Times New Roman" w:cs="Calibri"/>
                <w:bCs/>
                <w:sz w:val="20"/>
                <w:szCs w:val="20"/>
              </w:rPr>
              <w:t>Basic</w:t>
            </w:r>
          </w:p>
        </w:tc>
        <w:tc>
          <w:tcPr>
            <w:tcW w:w="1530" w:type="dxa"/>
            <w:tcBorders>
              <w:top w:val="single" w:sz="4" w:space="0" w:color="auto"/>
              <w:left w:val="nil"/>
              <w:bottom w:val="single" w:sz="4" w:space="0" w:color="auto"/>
              <w:right w:val="single" w:sz="4" w:space="0" w:color="auto"/>
            </w:tcBorders>
            <w:shd w:val="clear" w:color="000000" w:fill="FFFFFF"/>
            <w:hideMark/>
          </w:tcPr>
          <w:p w:rsidR="006D07FA" w:rsidRPr="006D07FA" w:rsidRDefault="006D07FA" w:rsidP="006D07FA">
            <w:pPr>
              <w:spacing w:after="0" w:line="240" w:lineRule="auto"/>
              <w:jc w:val="center"/>
              <w:rPr>
                <w:rFonts w:eastAsia="Times New Roman" w:cs="Calibri"/>
                <w:bCs/>
                <w:sz w:val="20"/>
                <w:szCs w:val="20"/>
              </w:rPr>
            </w:pPr>
            <w:r w:rsidRPr="006D07FA">
              <w:rPr>
                <w:rFonts w:eastAsia="Times New Roman" w:cs="Calibri"/>
                <w:bCs/>
                <w:sz w:val="20"/>
                <w:szCs w:val="20"/>
              </w:rPr>
              <w:t>Basic</w:t>
            </w:r>
          </w:p>
        </w:tc>
        <w:tc>
          <w:tcPr>
            <w:tcW w:w="1530" w:type="dxa"/>
            <w:tcBorders>
              <w:top w:val="single" w:sz="4" w:space="0" w:color="auto"/>
              <w:left w:val="nil"/>
              <w:bottom w:val="single" w:sz="4" w:space="0" w:color="auto"/>
              <w:right w:val="single" w:sz="4" w:space="0" w:color="auto"/>
            </w:tcBorders>
            <w:shd w:val="clear" w:color="000000" w:fill="FFFFFF"/>
          </w:tcPr>
          <w:p w:rsidR="006D07FA" w:rsidRPr="006D07FA" w:rsidRDefault="006D07FA" w:rsidP="006D07FA">
            <w:pPr>
              <w:spacing w:after="0" w:line="240" w:lineRule="auto"/>
              <w:jc w:val="center"/>
              <w:rPr>
                <w:rFonts w:eastAsia="Times New Roman" w:cs="Calibri"/>
                <w:bCs/>
                <w:sz w:val="20"/>
                <w:szCs w:val="20"/>
              </w:rPr>
            </w:pPr>
            <w:r w:rsidRPr="006D07FA">
              <w:rPr>
                <w:rFonts w:eastAsia="Times New Roman" w:cs="Calibri"/>
                <w:bCs/>
                <w:sz w:val="20"/>
                <w:szCs w:val="20"/>
              </w:rPr>
              <w:t>Supplemental</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6D07FA" w:rsidRPr="006D07FA" w:rsidRDefault="006D07FA" w:rsidP="006D07FA">
            <w:pPr>
              <w:spacing w:after="0" w:line="240" w:lineRule="auto"/>
              <w:jc w:val="center"/>
              <w:rPr>
                <w:rFonts w:eastAsia="Times New Roman" w:cs="Calibri"/>
                <w:bCs/>
                <w:sz w:val="20"/>
                <w:szCs w:val="20"/>
              </w:rPr>
            </w:pPr>
            <w:r w:rsidRPr="006D07FA">
              <w:rPr>
                <w:rFonts w:eastAsia="Times New Roman" w:cs="Calibri"/>
                <w:bCs/>
                <w:sz w:val="20"/>
                <w:szCs w:val="20"/>
              </w:rPr>
              <w:t>Supplemental</w:t>
            </w:r>
          </w:p>
        </w:tc>
      </w:tr>
      <w:tr w:rsidR="006D07FA" w:rsidRPr="006D07FA" w:rsidTr="00B12115">
        <w:trPr>
          <w:cantSplit/>
          <w:trHeight w:val="600"/>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6D07FA" w:rsidRPr="006D07FA" w:rsidRDefault="006D07FA" w:rsidP="00281768">
            <w:pPr>
              <w:spacing w:after="0" w:line="240" w:lineRule="auto"/>
              <w:jc w:val="center"/>
              <w:rPr>
                <w:rFonts w:eastAsia="Times New Roman" w:cs="Calibri"/>
                <w:bCs/>
                <w:sz w:val="20"/>
                <w:szCs w:val="20"/>
              </w:rPr>
            </w:pPr>
            <w:r w:rsidRPr="006D07FA">
              <w:rPr>
                <w:rFonts w:eastAsia="Times New Roman" w:cs="Calibri"/>
                <w:bCs/>
                <w:sz w:val="20"/>
                <w:szCs w:val="20"/>
              </w:rPr>
              <w:t>Mayo-Portland Adaptability Inventory (MPAI-4)</w:t>
            </w:r>
          </w:p>
        </w:tc>
        <w:tc>
          <w:tcPr>
            <w:tcW w:w="1170" w:type="dxa"/>
            <w:tcBorders>
              <w:top w:val="single" w:sz="4" w:space="0" w:color="auto"/>
              <w:left w:val="nil"/>
              <w:bottom w:val="single" w:sz="4" w:space="0" w:color="auto"/>
              <w:right w:val="single" w:sz="4" w:space="0" w:color="auto"/>
            </w:tcBorders>
            <w:shd w:val="clear" w:color="000000" w:fill="FFFFFF"/>
            <w:hideMark/>
          </w:tcPr>
          <w:p w:rsidR="006D07FA" w:rsidRPr="006D07FA" w:rsidRDefault="006D07FA" w:rsidP="00281768">
            <w:pPr>
              <w:spacing w:after="0" w:line="240" w:lineRule="auto"/>
              <w:jc w:val="center"/>
              <w:rPr>
                <w:rFonts w:eastAsia="Times New Roman" w:cs="Calibri"/>
                <w:bCs/>
                <w:sz w:val="20"/>
                <w:szCs w:val="20"/>
              </w:rPr>
            </w:pPr>
            <w:r w:rsidRPr="006D07FA">
              <w:rPr>
                <w:rFonts w:eastAsia="Times New Roman" w:cs="Calibri"/>
                <w:bCs/>
                <w:sz w:val="20"/>
                <w:szCs w:val="20"/>
              </w:rPr>
              <w:t xml:space="preserve">Adult </w:t>
            </w:r>
          </w:p>
        </w:tc>
        <w:tc>
          <w:tcPr>
            <w:tcW w:w="1530" w:type="dxa"/>
            <w:tcBorders>
              <w:top w:val="single" w:sz="4" w:space="0" w:color="auto"/>
              <w:left w:val="nil"/>
              <w:bottom w:val="single" w:sz="4" w:space="0" w:color="auto"/>
              <w:right w:val="single" w:sz="4" w:space="0" w:color="auto"/>
            </w:tcBorders>
            <w:shd w:val="clear" w:color="000000" w:fill="FFFFFF"/>
            <w:hideMark/>
          </w:tcPr>
          <w:p w:rsidR="006D07FA" w:rsidRPr="006D07FA" w:rsidRDefault="006D07FA" w:rsidP="00281768">
            <w:pPr>
              <w:spacing w:after="0" w:line="240" w:lineRule="auto"/>
              <w:jc w:val="center"/>
              <w:rPr>
                <w:rFonts w:eastAsia="Times New Roman" w:cs="Calibri"/>
                <w:bCs/>
                <w:sz w:val="20"/>
                <w:szCs w:val="20"/>
              </w:rPr>
            </w:pPr>
            <w:r w:rsidRPr="006D07FA">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hideMark/>
          </w:tcPr>
          <w:p w:rsidR="006D07FA" w:rsidRPr="006D07FA" w:rsidRDefault="006D07FA" w:rsidP="00281768">
            <w:pPr>
              <w:spacing w:after="0" w:line="240" w:lineRule="auto"/>
              <w:jc w:val="center"/>
              <w:rPr>
                <w:rFonts w:eastAsia="Times New Roman" w:cs="Calibri"/>
                <w:bCs/>
                <w:sz w:val="20"/>
                <w:szCs w:val="20"/>
              </w:rPr>
            </w:pPr>
            <w:r w:rsidRPr="006D07FA">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tcPr>
          <w:p w:rsidR="006D07FA" w:rsidRPr="006D07FA" w:rsidRDefault="006D07FA" w:rsidP="00281768">
            <w:pPr>
              <w:spacing w:after="0" w:line="240" w:lineRule="auto"/>
              <w:jc w:val="center"/>
              <w:rPr>
                <w:rFonts w:eastAsia="Times New Roman" w:cs="Calibri"/>
                <w:bCs/>
                <w:sz w:val="20"/>
                <w:szCs w:val="20"/>
              </w:rPr>
            </w:pPr>
            <w:r w:rsidRPr="006D07FA">
              <w:rPr>
                <w:rFonts w:eastAsia="Times New Roman" w:cs="Calibri"/>
                <w:bCs/>
                <w:sz w:val="20"/>
                <w:szCs w:val="20"/>
              </w:rPr>
              <w:t>Supplemental</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6D07FA" w:rsidRPr="006D07FA" w:rsidRDefault="006D07FA" w:rsidP="00281768">
            <w:pPr>
              <w:spacing w:after="0" w:line="240" w:lineRule="auto"/>
              <w:jc w:val="center"/>
              <w:rPr>
                <w:rFonts w:eastAsia="Times New Roman" w:cs="Calibri"/>
                <w:bCs/>
                <w:sz w:val="20"/>
                <w:szCs w:val="20"/>
              </w:rPr>
            </w:pPr>
            <w:r w:rsidRPr="006D07FA">
              <w:rPr>
                <w:rFonts w:eastAsia="Times New Roman" w:cs="Calibri"/>
                <w:bCs/>
                <w:sz w:val="20"/>
                <w:szCs w:val="20"/>
              </w:rPr>
              <w:t>Supplemental</w:t>
            </w:r>
          </w:p>
        </w:tc>
      </w:tr>
      <w:tr w:rsidR="006D07FA" w:rsidRPr="006D07FA" w:rsidTr="00B12115">
        <w:trPr>
          <w:cantSplit/>
          <w:trHeight w:val="600"/>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6D07FA" w:rsidRPr="006D07FA" w:rsidRDefault="006D07FA" w:rsidP="006D07FA">
            <w:pPr>
              <w:spacing w:after="0" w:line="240" w:lineRule="auto"/>
              <w:jc w:val="center"/>
              <w:rPr>
                <w:rFonts w:eastAsia="Times New Roman" w:cs="Calibri"/>
                <w:bCs/>
                <w:sz w:val="20"/>
                <w:szCs w:val="20"/>
              </w:rPr>
            </w:pPr>
            <w:r w:rsidRPr="006D07FA">
              <w:rPr>
                <w:rFonts w:eastAsia="Times New Roman" w:cs="Calibri"/>
                <w:bCs/>
                <w:sz w:val="20"/>
                <w:szCs w:val="20"/>
              </w:rPr>
              <w:t>Pediatric Quality of Life Inventory (</w:t>
            </w:r>
            <w:proofErr w:type="spellStart"/>
            <w:r w:rsidRPr="006D07FA">
              <w:rPr>
                <w:rFonts w:eastAsia="Times New Roman" w:cs="Calibri"/>
                <w:bCs/>
                <w:sz w:val="20"/>
                <w:szCs w:val="20"/>
              </w:rPr>
              <w:t>PedsQL</w:t>
            </w:r>
            <w:proofErr w:type="spellEnd"/>
            <w:r w:rsidRPr="006D07FA">
              <w:rPr>
                <w:rFonts w:eastAsia="Times New Roman" w:cs="Calibri"/>
                <w:bCs/>
                <w:sz w:val="20"/>
                <w:szCs w:val="20"/>
              </w:rPr>
              <w:t>)</w:t>
            </w:r>
          </w:p>
        </w:tc>
        <w:tc>
          <w:tcPr>
            <w:tcW w:w="1170" w:type="dxa"/>
            <w:tcBorders>
              <w:top w:val="single" w:sz="4" w:space="0" w:color="auto"/>
              <w:left w:val="nil"/>
              <w:bottom w:val="single" w:sz="4" w:space="0" w:color="auto"/>
              <w:right w:val="single" w:sz="4" w:space="0" w:color="auto"/>
            </w:tcBorders>
            <w:shd w:val="clear" w:color="000000" w:fill="FFFFFF"/>
            <w:hideMark/>
          </w:tcPr>
          <w:p w:rsidR="006D07FA" w:rsidRPr="006D07FA" w:rsidRDefault="006D07FA" w:rsidP="006D07FA">
            <w:pPr>
              <w:spacing w:after="0" w:line="240" w:lineRule="auto"/>
              <w:jc w:val="center"/>
              <w:rPr>
                <w:rFonts w:eastAsia="Times New Roman" w:cs="Calibri"/>
                <w:bCs/>
                <w:sz w:val="20"/>
                <w:szCs w:val="20"/>
              </w:rPr>
            </w:pPr>
            <w:r w:rsidRPr="006D07FA">
              <w:rPr>
                <w:rFonts w:eastAsia="Times New Roman" w:cs="Calibri"/>
                <w:bCs/>
                <w:sz w:val="20"/>
                <w:szCs w:val="20"/>
              </w:rPr>
              <w:t xml:space="preserve">Pediatric </w:t>
            </w:r>
          </w:p>
        </w:tc>
        <w:tc>
          <w:tcPr>
            <w:tcW w:w="1530" w:type="dxa"/>
            <w:tcBorders>
              <w:top w:val="single" w:sz="4" w:space="0" w:color="auto"/>
              <w:left w:val="nil"/>
              <w:bottom w:val="single" w:sz="4" w:space="0" w:color="auto"/>
              <w:right w:val="single" w:sz="4" w:space="0" w:color="auto"/>
            </w:tcBorders>
            <w:shd w:val="clear" w:color="000000" w:fill="FFFFFF"/>
            <w:hideMark/>
          </w:tcPr>
          <w:p w:rsidR="006D07FA" w:rsidRPr="006D07FA" w:rsidRDefault="006D07FA" w:rsidP="006D07FA">
            <w:pPr>
              <w:spacing w:after="0" w:line="240" w:lineRule="auto"/>
              <w:jc w:val="center"/>
              <w:rPr>
                <w:rFonts w:eastAsia="Times New Roman" w:cs="Calibri"/>
                <w:bCs/>
                <w:sz w:val="20"/>
                <w:szCs w:val="20"/>
              </w:rPr>
            </w:pPr>
            <w:r w:rsidRPr="006D07FA">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hideMark/>
          </w:tcPr>
          <w:p w:rsidR="006D07FA" w:rsidRPr="006D07FA" w:rsidRDefault="006D07FA" w:rsidP="006D07FA">
            <w:pPr>
              <w:spacing w:after="0" w:line="240" w:lineRule="auto"/>
              <w:jc w:val="center"/>
              <w:rPr>
                <w:rFonts w:eastAsia="Times New Roman" w:cs="Calibri"/>
                <w:bCs/>
                <w:sz w:val="20"/>
                <w:szCs w:val="20"/>
              </w:rPr>
            </w:pPr>
            <w:r w:rsidRPr="006D07FA">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tcPr>
          <w:p w:rsidR="006D07FA" w:rsidRPr="006D07FA" w:rsidRDefault="006D07FA" w:rsidP="006D07FA">
            <w:pPr>
              <w:spacing w:after="0" w:line="240" w:lineRule="auto"/>
              <w:jc w:val="center"/>
              <w:rPr>
                <w:rFonts w:eastAsia="Times New Roman" w:cs="Calibri"/>
                <w:bCs/>
                <w:sz w:val="20"/>
                <w:szCs w:val="20"/>
              </w:rPr>
            </w:pPr>
            <w:r w:rsidRPr="006D07FA">
              <w:rPr>
                <w:rFonts w:eastAsia="Times New Roman" w:cs="Calibri"/>
                <w:bCs/>
                <w:sz w:val="20"/>
                <w:szCs w:val="20"/>
              </w:rPr>
              <w:t>Supplemental</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6D07FA" w:rsidRPr="006D07FA" w:rsidRDefault="006D07FA" w:rsidP="006D07FA">
            <w:pPr>
              <w:spacing w:after="0" w:line="240" w:lineRule="auto"/>
              <w:jc w:val="center"/>
              <w:rPr>
                <w:rFonts w:eastAsia="Times New Roman" w:cs="Calibri"/>
                <w:bCs/>
                <w:sz w:val="20"/>
                <w:szCs w:val="20"/>
              </w:rPr>
            </w:pPr>
            <w:r w:rsidRPr="006D07FA">
              <w:rPr>
                <w:rFonts w:eastAsia="Times New Roman" w:cs="Calibri"/>
                <w:bCs/>
                <w:sz w:val="20"/>
                <w:szCs w:val="20"/>
              </w:rPr>
              <w:t xml:space="preserve">Supplemental </w:t>
            </w:r>
          </w:p>
        </w:tc>
      </w:tr>
      <w:tr w:rsidR="006D07FA" w:rsidRPr="006D07FA" w:rsidTr="00B12115">
        <w:trPr>
          <w:cantSplit/>
          <w:trHeight w:val="600"/>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6D07FA" w:rsidRPr="006D07FA" w:rsidRDefault="006D07FA" w:rsidP="006D07FA">
            <w:pPr>
              <w:spacing w:after="0" w:line="240" w:lineRule="auto"/>
              <w:jc w:val="center"/>
              <w:rPr>
                <w:rFonts w:eastAsia="Times New Roman" w:cs="Calibri"/>
                <w:bCs/>
                <w:sz w:val="20"/>
                <w:szCs w:val="20"/>
              </w:rPr>
            </w:pPr>
            <w:r w:rsidRPr="006D07FA">
              <w:rPr>
                <w:rFonts w:eastAsia="Times New Roman" w:cs="Calibri"/>
                <w:bCs/>
                <w:sz w:val="20"/>
                <w:szCs w:val="20"/>
              </w:rPr>
              <w:t>Pediatric Test of Brain Injury</w:t>
            </w:r>
          </w:p>
        </w:tc>
        <w:tc>
          <w:tcPr>
            <w:tcW w:w="1170" w:type="dxa"/>
            <w:tcBorders>
              <w:top w:val="single" w:sz="4" w:space="0" w:color="auto"/>
              <w:left w:val="nil"/>
              <w:bottom w:val="single" w:sz="4" w:space="0" w:color="auto"/>
              <w:right w:val="single" w:sz="4" w:space="0" w:color="auto"/>
            </w:tcBorders>
            <w:shd w:val="clear" w:color="000000" w:fill="FFFFFF"/>
            <w:hideMark/>
          </w:tcPr>
          <w:p w:rsidR="006D07FA" w:rsidRPr="006D07FA" w:rsidRDefault="006D07FA" w:rsidP="006D07FA">
            <w:pPr>
              <w:spacing w:after="0" w:line="240" w:lineRule="auto"/>
              <w:jc w:val="center"/>
              <w:rPr>
                <w:rFonts w:eastAsia="Times New Roman" w:cs="Calibri"/>
                <w:bCs/>
                <w:sz w:val="20"/>
                <w:szCs w:val="20"/>
              </w:rPr>
            </w:pPr>
            <w:r w:rsidRPr="006D07FA">
              <w:rPr>
                <w:rFonts w:eastAsia="Times New Roman" w:cs="Calibri"/>
                <w:bCs/>
                <w:sz w:val="20"/>
                <w:szCs w:val="20"/>
              </w:rPr>
              <w:t xml:space="preserve">Pediatric </w:t>
            </w:r>
          </w:p>
        </w:tc>
        <w:tc>
          <w:tcPr>
            <w:tcW w:w="1530" w:type="dxa"/>
            <w:tcBorders>
              <w:top w:val="single" w:sz="4" w:space="0" w:color="auto"/>
              <w:left w:val="nil"/>
              <w:bottom w:val="single" w:sz="4" w:space="0" w:color="auto"/>
              <w:right w:val="single" w:sz="4" w:space="0" w:color="auto"/>
            </w:tcBorders>
            <w:shd w:val="clear" w:color="000000" w:fill="FFFFFF"/>
            <w:hideMark/>
          </w:tcPr>
          <w:p w:rsidR="006D07FA" w:rsidRPr="006D07FA" w:rsidRDefault="006D07FA" w:rsidP="006D07FA">
            <w:pPr>
              <w:spacing w:after="0" w:line="240" w:lineRule="auto"/>
              <w:jc w:val="center"/>
              <w:rPr>
                <w:rFonts w:eastAsia="Times New Roman" w:cs="Calibri"/>
                <w:bCs/>
                <w:sz w:val="20"/>
                <w:szCs w:val="20"/>
              </w:rPr>
            </w:pPr>
            <w:r w:rsidRPr="006D07FA">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hideMark/>
          </w:tcPr>
          <w:p w:rsidR="006D07FA" w:rsidRPr="006D07FA" w:rsidRDefault="006D07FA" w:rsidP="006D07FA">
            <w:pPr>
              <w:spacing w:after="0" w:line="240" w:lineRule="auto"/>
              <w:jc w:val="center"/>
              <w:rPr>
                <w:rFonts w:eastAsia="Times New Roman" w:cs="Calibri"/>
                <w:bCs/>
                <w:sz w:val="20"/>
                <w:szCs w:val="20"/>
              </w:rPr>
            </w:pPr>
            <w:r w:rsidRPr="006D07FA">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tcPr>
          <w:p w:rsidR="006D07FA" w:rsidRPr="006D07FA" w:rsidRDefault="006D07FA" w:rsidP="006D07FA">
            <w:pPr>
              <w:spacing w:after="0" w:line="240" w:lineRule="auto"/>
              <w:jc w:val="center"/>
              <w:rPr>
                <w:rFonts w:eastAsia="Times New Roman" w:cs="Calibri"/>
                <w:bCs/>
                <w:sz w:val="20"/>
                <w:szCs w:val="20"/>
              </w:rPr>
            </w:pPr>
            <w:r w:rsidRPr="006D07FA">
              <w:rPr>
                <w:rFonts w:eastAsia="Times New Roman" w:cs="Calibri"/>
                <w:bCs/>
                <w:sz w:val="20"/>
                <w:szCs w:val="20"/>
              </w:rPr>
              <w:t>Supplemental</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6D07FA" w:rsidRPr="006D07FA" w:rsidRDefault="006D07FA" w:rsidP="006D07FA">
            <w:pPr>
              <w:spacing w:after="0" w:line="240" w:lineRule="auto"/>
              <w:jc w:val="center"/>
              <w:rPr>
                <w:rFonts w:eastAsia="Times New Roman" w:cs="Calibri"/>
                <w:bCs/>
                <w:sz w:val="20"/>
                <w:szCs w:val="20"/>
              </w:rPr>
            </w:pPr>
            <w:r w:rsidRPr="006D07FA">
              <w:rPr>
                <w:rFonts w:eastAsia="Times New Roman" w:cs="Calibri"/>
                <w:bCs/>
                <w:sz w:val="20"/>
                <w:szCs w:val="20"/>
              </w:rPr>
              <w:t>Supplemental</w:t>
            </w:r>
          </w:p>
        </w:tc>
      </w:tr>
      <w:tr w:rsidR="006D07FA" w:rsidRPr="006D07FA" w:rsidTr="00B12115">
        <w:trPr>
          <w:cantSplit/>
          <w:trHeight w:val="600"/>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6D07FA" w:rsidRPr="006D07FA" w:rsidRDefault="006D07FA" w:rsidP="006D07FA">
            <w:pPr>
              <w:spacing w:after="0" w:line="240" w:lineRule="auto"/>
              <w:jc w:val="center"/>
              <w:rPr>
                <w:rFonts w:eastAsia="Times New Roman" w:cs="Calibri"/>
                <w:bCs/>
                <w:sz w:val="20"/>
                <w:szCs w:val="20"/>
              </w:rPr>
            </w:pPr>
            <w:r w:rsidRPr="006D07FA">
              <w:rPr>
                <w:rFonts w:eastAsia="Times New Roman" w:cs="Calibri"/>
                <w:bCs/>
                <w:sz w:val="20"/>
                <w:szCs w:val="20"/>
              </w:rPr>
              <w:t>Short Form-12 Health Survey (SF-12)</w:t>
            </w:r>
          </w:p>
        </w:tc>
        <w:tc>
          <w:tcPr>
            <w:tcW w:w="1170" w:type="dxa"/>
            <w:tcBorders>
              <w:top w:val="single" w:sz="4" w:space="0" w:color="auto"/>
              <w:left w:val="nil"/>
              <w:bottom w:val="single" w:sz="4" w:space="0" w:color="auto"/>
              <w:right w:val="single" w:sz="4" w:space="0" w:color="auto"/>
            </w:tcBorders>
            <w:shd w:val="clear" w:color="000000" w:fill="FFFFFF"/>
            <w:hideMark/>
          </w:tcPr>
          <w:p w:rsidR="006D07FA" w:rsidRPr="00B12115" w:rsidRDefault="006D07FA" w:rsidP="00B12115">
            <w:pPr>
              <w:spacing w:after="0" w:line="240" w:lineRule="auto"/>
              <w:jc w:val="center"/>
              <w:rPr>
                <w:rFonts w:eastAsia="Times New Roman" w:cs="Calibri"/>
                <w:bCs/>
                <w:sz w:val="20"/>
                <w:szCs w:val="20"/>
              </w:rPr>
            </w:pPr>
            <w:r w:rsidRPr="006D07FA">
              <w:rPr>
                <w:rFonts w:eastAsia="Times New Roman" w:cs="Calibri"/>
                <w:bCs/>
                <w:sz w:val="20"/>
                <w:szCs w:val="20"/>
              </w:rPr>
              <w:t xml:space="preserve">Adult </w:t>
            </w:r>
          </w:p>
        </w:tc>
        <w:tc>
          <w:tcPr>
            <w:tcW w:w="1530" w:type="dxa"/>
            <w:tcBorders>
              <w:top w:val="single" w:sz="4" w:space="0" w:color="auto"/>
              <w:left w:val="nil"/>
              <w:bottom w:val="single" w:sz="4" w:space="0" w:color="auto"/>
              <w:right w:val="single" w:sz="4" w:space="0" w:color="auto"/>
            </w:tcBorders>
            <w:shd w:val="clear" w:color="000000" w:fill="FFFFFF"/>
            <w:hideMark/>
          </w:tcPr>
          <w:p w:rsidR="006D07FA" w:rsidRPr="006D07FA" w:rsidRDefault="006D07FA" w:rsidP="006D07FA">
            <w:pPr>
              <w:spacing w:after="0" w:line="240" w:lineRule="auto"/>
              <w:jc w:val="center"/>
              <w:rPr>
                <w:rFonts w:eastAsia="Times New Roman" w:cs="Calibri"/>
                <w:bCs/>
                <w:sz w:val="20"/>
                <w:szCs w:val="20"/>
              </w:rPr>
            </w:pPr>
            <w:r w:rsidRPr="006D07FA">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hideMark/>
          </w:tcPr>
          <w:p w:rsidR="006D07FA" w:rsidRPr="006D07FA" w:rsidRDefault="006D07FA" w:rsidP="006D07FA">
            <w:pPr>
              <w:spacing w:after="0" w:line="240" w:lineRule="auto"/>
              <w:jc w:val="center"/>
              <w:rPr>
                <w:rFonts w:eastAsia="Times New Roman" w:cs="Calibri"/>
                <w:bCs/>
                <w:sz w:val="20"/>
                <w:szCs w:val="20"/>
              </w:rPr>
            </w:pPr>
            <w:r w:rsidRPr="006D07FA">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tcPr>
          <w:p w:rsidR="006D07FA" w:rsidRPr="006D07FA" w:rsidRDefault="006D07FA" w:rsidP="006D07FA">
            <w:pPr>
              <w:spacing w:after="0" w:line="240" w:lineRule="auto"/>
              <w:jc w:val="center"/>
              <w:rPr>
                <w:rFonts w:eastAsia="Times New Roman" w:cs="Calibri"/>
                <w:bCs/>
                <w:sz w:val="20"/>
                <w:szCs w:val="20"/>
              </w:rPr>
            </w:pPr>
            <w:r w:rsidRPr="006D07FA">
              <w:rPr>
                <w:rFonts w:eastAsia="Times New Roman" w:cs="Calibri"/>
                <w:bCs/>
                <w:sz w:val="20"/>
                <w:szCs w:val="20"/>
              </w:rPr>
              <w:t>Supplemental</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6D07FA" w:rsidRPr="006D07FA" w:rsidRDefault="006D07FA" w:rsidP="006D07FA">
            <w:pPr>
              <w:spacing w:after="0" w:line="240" w:lineRule="auto"/>
              <w:jc w:val="center"/>
              <w:rPr>
                <w:rFonts w:eastAsia="Times New Roman" w:cs="Calibri"/>
                <w:bCs/>
                <w:sz w:val="20"/>
                <w:szCs w:val="20"/>
              </w:rPr>
            </w:pPr>
            <w:r w:rsidRPr="006D07FA">
              <w:rPr>
                <w:rFonts w:eastAsia="Times New Roman" w:cs="Calibri"/>
                <w:bCs/>
                <w:sz w:val="20"/>
                <w:szCs w:val="20"/>
              </w:rPr>
              <w:t>Supplemental</w:t>
            </w:r>
          </w:p>
        </w:tc>
      </w:tr>
      <w:tr w:rsidR="006D07FA" w:rsidRPr="006D07FA" w:rsidTr="00B12115">
        <w:trPr>
          <w:cantSplit/>
          <w:trHeight w:val="600"/>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6D07FA" w:rsidRPr="006D07FA" w:rsidRDefault="006D07FA" w:rsidP="006D07FA">
            <w:pPr>
              <w:spacing w:after="0" w:line="240" w:lineRule="auto"/>
              <w:jc w:val="center"/>
              <w:rPr>
                <w:rFonts w:eastAsia="Times New Roman" w:cs="Calibri"/>
                <w:bCs/>
                <w:sz w:val="20"/>
                <w:szCs w:val="20"/>
              </w:rPr>
            </w:pPr>
            <w:r w:rsidRPr="006D07FA">
              <w:rPr>
                <w:rFonts w:eastAsia="Times New Roman" w:cs="Calibri"/>
                <w:bCs/>
                <w:sz w:val="20"/>
                <w:szCs w:val="20"/>
              </w:rPr>
              <w:t>Short Form-36 Medical Outcome Study (SF-36 v2)</w:t>
            </w:r>
          </w:p>
        </w:tc>
        <w:tc>
          <w:tcPr>
            <w:tcW w:w="1170" w:type="dxa"/>
            <w:tcBorders>
              <w:top w:val="single" w:sz="4" w:space="0" w:color="auto"/>
              <w:left w:val="nil"/>
              <w:bottom w:val="single" w:sz="4" w:space="0" w:color="auto"/>
              <w:right w:val="single" w:sz="4" w:space="0" w:color="auto"/>
            </w:tcBorders>
            <w:shd w:val="clear" w:color="000000" w:fill="FFFFFF"/>
            <w:hideMark/>
          </w:tcPr>
          <w:p w:rsidR="006D07FA" w:rsidRPr="006D07FA" w:rsidRDefault="006D07FA" w:rsidP="006D07FA">
            <w:pPr>
              <w:spacing w:after="0" w:line="240" w:lineRule="auto"/>
              <w:jc w:val="center"/>
              <w:rPr>
                <w:rFonts w:eastAsia="Times New Roman" w:cs="Calibri"/>
                <w:bCs/>
                <w:sz w:val="20"/>
                <w:szCs w:val="20"/>
              </w:rPr>
            </w:pPr>
            <w:r w:rsidRPr="006D07FA">
              <w:rPr>
                <w:rFonts w:eastAsia="Times New Roman" w:cs="Calibri"/>
                <w:bCs/>
                <w:sz w:val="20"/>
                <w:szCs w:val="20"/>
              </w:rPr>
              <w:t xml:space="preserve">Adult </w:t>
            </w:r>
          </w:p>
        </w:tc>
        <w:tc>
          <w:tcPr>
            <w:tcW w:w="1530" w:type="dxa"/>
            <w:tcBorders>
              <w:top w:val="single" w:sz="4" w:space="0" w:color="auto"/>
              <w:left w:val="nil"/>
              <w:bottom w:val="single" w:sz="4" w:space="0" w:color="auto"/>
              <w:right w:val="single" w:sz="4" w:space="0" w:color="auto"/>
            </w:tcBorders>
            <w:shd w:val="clear" w:color="000000" w:fill="FFFFFF"/>
            <w:hideMark/>
          </w:tcPr>
          <w:p w:rsidR="006D07FA" w:rsidRPr="006D07FA" w:rsidRDefault="006D07FA" w:rsidP="006D07FA">
            <w:pPr>
              <w:spacing w:after="0" w:line="240" w:lineRule="auto"/>
              <w:jc w:val="center"/>
              <w:rPr>
                <w:rFonts w:eastAsia="Times New Roman" w:cs="Calibri"/>
                <w:bCs/>
                <w:sz w:val="20"/>
                <w:szCs w:val="20"/>
              </w:rPr>
            </w:pPr>
            <w:r w:rsidRPr="006D07FA">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hideMark/>
          </w:tcPr>
          <w:p w:rsidR="006D07FA" w:rsidRPr="006D07FA" w:rsidRDefault="006D07FA" w:rsidP="006D07FA">
            <w:pPr>
              <w:spacing w:after="0" w:line="240" w:lineRule="auto"/>
              <w:jc w:val="center"/>
              <w:rPr>
                <w:rFonts w:eastAsia="Times New Roman" w:cs="Calibri"/>
                <w:bCs/>
                <w:sz w:val="20"/>
                <w:szCs w:val="20"/>
              </w:rPr>
            </w:pPr>
            <w:r w:rsidRPr="006D07FA">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tcPr>
          <w:p w:rsidR="006D07FA" w:rsidRPr="006D07FA" w:rsidRDefault="006D07FA" w:rsidP="006D07FA">
            <w:pPr>
              <w:spacing w:after="0" w:line="240" w:lineRule="auto"/>
              <w:jc w:val="center"/>
              <w:rPr>
                <w:rFonts w:eastAsia="Times New Roman" w:cs="Calibri"/>
                <w:bCs/>
                <w:sz w:val="20"/>
                <w:szCs w:val="20"/>
              </w:rPr>
            </w:pPr>
            <w:r w:rsidRPr="006D07FA">
              <w:rPr>
                <w:rFonts w:eastAsia="Times New Roman" w:cs="Calibri"/>
                <w:bCs/>
                <w:sz w:val="20"/>
                <w:szCs w:val="20"/>
              </w:rPr>
              <w:t>Supplemental</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6D07FA" w:rsidRPr="006D07FA" w:rsidRDefault="006D07FA" w:rsidP="006D07FA">
            <w:pPr>
              <w:spacing w:after="0" w:line="240" w:lineRule="auto"/>
              <w:jc w:val="center"/>
              <w:rPr>
                <w:rFonts w:eastAsia="Times New Roman" w:cs="Calibri"/>
                <w:bCs/>
                <w:sz w:val="20"/>
                <w:szCs w:val="20"/>
              </w:rPr>
            </w:pPr>
            <w:r w:rsidRPr="006D07FA">
              <w:rPr>
                <w:rFonts w:eastAsia="Times New Roman" w:cs="Calibri"/>
                <w:bCs/>
                <w:sz w:val="20"/>
                <w:szCs w:val="20"/>
              </w:rPr>
              <w:t>Supplemental</w:t>
            </w:r>
          </w:p>
        </w:tc>
      </w:tr>
    </w:tbl>
    <w:p w:rsidR="009877B9" w:rsidRDefault="009877B9" w:rsidP="009877B9">
      <w:pPr>
        <w:pStyle w:val="Heading3"/>
        <w:sectPr w:rsidR="009877B9" w:rsidSect="00B50270">
          <w:headerReference w:type="default" r:id="rId7"/>
          <w:footerReference w:type="default" r:id="rId8"/>
          <w:pgSz w:w="12240" w:h="15840"/>
          <w:pgMar w:top="1440" w:right="1440" w:bottom="1440" w:left="1440" w:header="720" w:footer="720" w:gutter="0"/>
          <w:cols w:space="720"/>
          <w:docGrid w:linePitch="360"/>
        </w:sectPr>
      </w:pPr>
    </w:p>
    <w:p w:rsidR="009877B9" w:rsidRDefault="006D07FA" w:rsidP="009877B9">
      <w:pPr>
        <w:pStyle w:val="Heading3"/>
      </w:pPr>
      <w:r w:rsidRPr="005463F4">
        <w:lastRenderedPageBreak/>
        <w:t>References</w:t>
      </w:r>
      <w:r w:rsidR="009877B9">
        <w:t>:</w:t>
      </w:r>
    </w:p>
    <w:p w:rsidR="006D07FA" w:rsidRPr="00B12115" w:rsidRDefault="006D07FA" w:rsidP="006D07FA">
      <w:pPr>
        <w:rPr>
          <w:rFonts w:cs="Calibri"/>
          <w:b/>
        </w:rPr>
      </w:pPr>
      <w:r w:rsidRPr="005463F4">
        <w:rPr>
          <w:rFonts w:cs="Calibri"/>
        </w:rPr>
        <w:t xml:space="preserve">McCauley SR, Wilde EA, Anderson VA, </w:t>
      </w:r>
      <w:proofErr w:type="spellStart"/>
      <w:r w:rsidRPr="005463F4">
        <w:rPr>
          <w:rFonts w:cs="Calibri"/>
        </w:rPr>
        <w:t>Bedell</w:t>
      </w:r>
      <w:proofErr w:type="spellEnd"/>
      <w:r w:rsidRPr="005463F4">
        <w:rPr>
          <w:rFonts w:cs="Calibri"/>
        </w:rPr>
        <w:t xml:space="preserve"> G, Beers SR, Campbell TF, Chapman SB, Ewing-</w:t>
      </w:r>
      <w:proofErr w:type="spellStart"/>
      <w:r w:rsidRPr="005463F4">
        <w:rPr>
          <w:rFonts w:cs="Calibri"/>
        </w:rPr>
        <w:t>Cobbs</w:t>
      </w:r>
      <w:proofErr w:type="spellEnd"/>
      <w:r w:rsidRPr="005463F4">
        <w:rPr>
          <w:rFonts w:cs="Calibri"/>
        </w:rPr>
        <w:t xml:space="preserve"> L, </w:t>
      </w:r>
      <w:proofErr w:type="spellStart"/>
      <w:r w:rsidRPr="005463F4">
        <w:rPr>
          <w:rFonts w:cs="Calibri"/>
        </w:rPr>
        <w:t>Gerring</w:t>
      </w:r>
      <w:proofErr w:type="spellEnd"/>
      <w:r w:rsidRPr="005463F4">
        <w:rPr>
          <w:rFonts w:cs="Calibri"/>
        </w:rPr>
        <w:t xml:space="preserve"> JP, </w:t>
      </w:r>
      <w:proofErr w:type="spellStart"/>
      <w:r w:rsidRPr="005463F4">
        <w:rPr>
          <w:rFonts w:cs="Calibri"/>
        </w:rPr>
        <w:t>Gioia</w:t>
      </w:r>
      <w:proofErr w:type="spellEnd"/>
      <w:r w:rsidRPr="005463F4">
        <w:rPr>
          <w:rFonts w:cs="Calibri"/>
        </w:rPr>
        <w:t xml:space="preserve"> GA, Levin HS, Michaud LJ, Prasad MR, </w:t>
      </w:r>
      <w:proofErr w:type="spellStart"/>
      <w:r w:rsidRPr="005463F4">
        <w:rPr>
          <w:rFonts w:cs="Calibri"/>
        </w:rPr>
        <w:t>Swaine</w:t>
      </w:r>
      <w:proofErr w:type="spellEnd"/>
      <w:r w:rsidRPr="005463F4">
        <w:rPr>
          <w:rFonts w:cs="Calibri"/>
        </w:rPr>
        <w:t xml:space="preserve"> BR, </w:t>
      </w:r>
      <w:proofErr w:type="spellStart"/>
      <w:r w:rsidRPr="005463F4">
        <w:rPr>
          <w:rFonts w:cs="Calibri"/>
        </w:rPr>
        <w:t>Turkstra</w:t>
      </w:r>
      <w:proofErr w:type="spellEnd"/>
      <w:r w:rsidRPr="005463F4">
        <w:rPr>
          <w:rFonts w:cs="Calibri"/>
        </w:rPr>
        <w:t xml:space="preserve"> LS, Wade SL, </w:t>
      </w:r>
      <w:proofErr w:type="spellStart"/>
      <w:r w:rsidRPr="005463F4">
        <w:rPr>
          <w:rFonts w:cs="Calibri"/>
        </w:rPr>
        <w:t>Yeates</w:t>
      </w:r>
      <w:proofErr w:type="spellEnd"/>
      <w:r w:rsidR="00B12115">
        <w:rPr>
          <w:rFonts w:cs="Calibri"/>
        </w:rPr>
        <w:t xml:space="preserve"> </w:t>
      </w:r>
      <w:r w:rsidRPr="005463F4">
        <w:rPr>
          <w:rFonts w:cs="Calibri"/>
        </w:rPr>
        <w:t xml:space="preserve">KO. Recommendations for the Use of Common Outcome Measures in Pediatric Traumatic Brain Injury Research. J </w:t>
      </w:r>
      <w:proofErr w:type="spellStart"/>
      <w:r w:rsidRPr="005463F4">
        <w:rPr>
          <w:rFonts w:cs="Calibri"/>
        </w:rPr>
        <w:t>Neurotrauma</w:t>
      </w:r>
      <w:proofErr w:type="spellEnd"/>
      <w:r w:rsidRPr="005463F4">
        <w:rPr>
          <w:rFonts w:cs="Calibri"/>
        </w:rPr>
        <w:t>. 2012 March; 29: 678-705. PubMed PMID: 21644810.</w:t>
      </w:r>
    </w:p>
    <w:p w:rsidR="006D07FA" w:rsidRPr="006D07FA" w:rsidRDefault="006D07FA" w:rsidP="006D07FA">
      <w:pPr>
        <w:rPr>
          <w:rFonts w:cs="Calibri"/>
          <w:b/>
        </w:rPr>
      </w:pPr>
      <w:r w:rsidRPr="004233FE">
        <w:rPr>
          <w:rFonts w:cs="Calibri"/>
        </w:rPr>
        <w:t xml:space="preserve">Wilde EA, Whiteneck GG, </w:t>
      </w:r>
      <w:proofErr w:type="spellStart"/>
      <w:r w:rsidRPr="004233FE">
        <w:rPr>
          <w:rFonts w:cs="Calibri"/>
        </w:rPr>
        <w:t>Bogner</w:t>
      </w:r>
      <w:proofErr w:type="spellEnd"/>
      <w:r w:rsidRPr="004233FE">
        <w:rPr>
          <w:rFonts w:cs="Calibri"/>
        </w:rPr>
        <w:t xml:space="preserve"> J, Bushnik T, Cifu DX, Dikmen S, French L, Giacino JT, Hart T, </w:t>
      </w:r>
      <w:proofErr w:type="spellStart"/>
      <w:r w:rsidRPr="004233FE">
        <w:rPr>
          <w:rFonts w:cs="Calibri"/>
        </w:rPr>
        <w:t>Malec</w:t>
      </w:r>
      <w:proofErr w:type="spellEnd"/>
      <w:r w:rsidRPr="004233FE">
        <w:rPr>
          <w:rFonts w:cs="Calibri"/>
        </w:rPr>
        <w:t xml:space="preserve"> JF, Millis SR, </w:t>
      </w:r>
      <w:proofErr w:type="spellStart"/>
      <w:r w:rsidRPr="004233FE">
        <w:rPr>
          <w:rFonts w:cs="Calibri"/>
        </w:rPr>
        <w:t>Novack</w:t>
      </w:r>
      <w:proofErr w:type="spellEnd"/>
      <w:r w:rsidRPr="004233FE">
        <w:rPr>
          <w:rFonts w:cs="Calibri"/>
        </w:rPr>
        <w:t xml:space="preserve"> TA, </w:t>
      </w:r>
      <w:proofErr w:type="spellStart"/>
      <w:r w:rsidRPr="004233FE">
        <w:rPr>
          <w:rFonts w:cs="Calibri"/>
        </w:rPr>
        <w:t>Sherer</w:t>
      </w:r>
      <w:proofErr w:type="spellEnd"/>
      <w:r w:rsidRPr="004233FE">
        <w:rPr>
          <w:rFonts w:cs="Calibri"/>
        </w:rPr>
        <w:t xml:space="preserve"> M, Tulsky DS, </w:t>
      </w:r>
      <w:proofErr w:type="spellStart"/>
      <w:r w:rsidRPr="004233FE">
        <w:rPr>
          <w:rFonts w:cs="Calibri"/>
        </w:rPr>
        <w:t>Vanderploeg</w:t>
      </w:r>
      <w:proofErr w:type="spellEnd"/>
      <w:r w:rsidRPr="004233FE">
        <w:rPr>
          <w:rFonts w:cs="Calibri"/>
        </w:rPr>
        <w:t xml:space="preserve"> RD, von </w:t>
      </w:r>
      <w:proofErr w:type="spellStart"/>
      <w:r w:rsidRPr="004233FE">
        <w:rPr>
          <w:rFonts w:cs="Calibri"/>
        </w:rPr>
        <w:t>Steinbuechel</w:t>
      </w:r>
      <w:proofErr w:type="spellEnd"/>
      <w:r w:rsidRPr="004233FE">
        <w:rPr>
          <w:rFonts w:cs="Calibri"/>
        </w:rPr>
        <w:t xml:space="preserve"> N. Recommendations for the use of common outcome measures in traumatic brain injury research. Arch Phys Med </w:t>
      </w:r>
      <w:proofErr w:type="spellStart"/>
      <w:r w:rsidRPr="004233FE">
        <w:rPr>
          <w:rFonts w:cs="Calibri"/>
        </w:rPr>
        <w:t>Rehabil</w:t>
      </w:r>
      <w:proofErr w:type="spellEnd"/>
      <w:r w:rsidRPr="004233FE">
        <w:rPr>
          <w:rFonts w:cs="Calibri"/>
        </w:rPr>
        <w:t>. 2010 Nov</w:t>
      </w:r>
      <w:proofErr w:type="gramStart"/>
      <w:r w:rsidRPr="004233FE">
        <w:rPr>
          <w:rFonts w:cs="Calibri"/>
        </w:rPr>
        <w:t>;91</w:t>
      </w:r>
      <w:proofErr w:type="gramEnd"/>
      <w:r w:rsidRPr="004233FE">
        <w:rPr>
          <w:rFonts w:cs="Calibri"/>
        </w:rPr>
        <w:t>(11):1650-1660.e17. [DOI: 10.1016/j.apmr.2010.06.033]</w:t>
      </w:r>
    </w:p>
    <w:p w:rsidR="0089414D" w:rsidRPr="006D07FA" w:rsidRDefault="006D07FA" w:rsidP="00B12115">
      <w:pPr>
        <w:pStyle w:val="Heading2"/>
      </w:pPr>
      <w:r>
        <w:rPr>
          <w:szCs w:val="24"/>
        </w:rPr>
        <w:br w:type="page"/>
      </w:r>
      <w:r w:rsidR="0089414D" w:rsidRPr="006D07FA">
        <w:lastRenderedPageBreak/>
        <w:t>Disability Rating Scale</w:t>
      </w:r>
      <w:r w:rsidR="00D13706" w:rsidRPr="006D07FA">
        <w:t xml:space="preserve"> (DRS)</w:t>
      </w:r>
    </w:p>
    <w:p w:rsidR="0089414D" w:rsidRPr="00B12115" w:rsidRDefault="0089414D" w:rsidP="00B12115">
      <w:pPr>
        <w:pStyle w:val="Heading3"/>
      </w:pPr>
      <w:r w:rsidRPr="00B12115">
        <w:t>DESCRIPTION</w:t>
      </w:r>
    </w:p>
    <w:p w:rsidR="0089414D" w:rsidRPr="006D07FA" w:rsidRDefault="0089414D" w:rsidP="0089414D">
      <w:pPr>
        <w:rPr>
          <w:rFonts w:cs="Calibri"/>
        </w:rPr>
      </w:pPr>
      <w:r w:rsidRPr="006D07FA">
        <w:rPr>
          <w:rFonts w:cs="Calibri"/>
        </w:rPr>
        <w:t>The DRS contains 8 items. The first three items ("Eye Opening," "Communication Ability", and "Motor Response"</w:t>
      </w:r>
      <w:r w:rsidR="00D13706" w:rsidRPr="006D07FA">
        <w:rPr>
          <w:rFonts w:cs="Calibri"/>
        </w:rPr>
        <w:t>)</w:t>
      </w:r>
      <w:r w:rsidRPr="006D07FA">
        <w:rPr>
          <w:rFonts w:cs="Calibri"/>
        </w:rPr>
        <w:t xml:space="preserve"> are a modification of the Glasgow Coma Scale (scored in reverse), and reflect impairment and level of consciousness. Cognitive ability for "Feeding", "Toileting" and "Grooming" reflect level of disability. "Level of Functioning" and "Empl</w:t>
      </w:r>
      <w:r w:rsidR="00B12115">
        <w:rPr>
          <w:rFonts w:cs="Calibri"/>
        </w:rPr>
        <w:t>oyability" reflect handicap.</w:t>
      </w:r>
    </w:p>
    <w:p w:rsidR="0089414D" w:rsidRPr="006D07FA" w:rsidRDefault="0089414D" w:rsidP="00B12115">
      <w:pPr>
        <w:pStyle w:val="Heading3"/>
      </w:pPr>
      <w:r w:rsidRPr="006D07FA">
        <w:t xml:space="preserve">PERMISSIBLE VALUES </w:t>
      </w:r>
    </w:p>
    <w:p w:rsidR="00FD6879" w:rsidRPr="006D07FA" w:rsidRDefault="0089414D" w:rsidP="00FD6879">
      <w:pPr>
        <w:spacing w:after="120"/>
        <w:rPr>
          <w:rFonts w:cs="Calibri"/>
        </w:rPr>
      </w:pPr>
      <w:r w:rsidRPr="006D07FA">
        <w:rPr>
          <w:rFonts w:cs="Calibri"/>
        </w:rPr>
        <w:t xml:space="preserve">Minimum score is 0 (without disability) and maximum score is 29 (extreme vegetative state). </w:t>
      </w:r>
    </w:p>
    <w:p w:rsidR="0089414D" w:rsidRPr="006D07FA" w:rsidRDefault="0089414D" w:rsidP="00B12115">
      <w:pPr>
        <w:pStyle w:val="Heading3"/>
      </w:pPr>
      <w:r w:rsidRPr="006D07FA">
        <w:t xml:space="preserve">PROCEDURES </w:t>
      </w:r>
    </w:p>
    <w:p w:rsidR="00FD6879" w:rsidRPr="006D07FA" w:rsidRDefault="0089414D" w:rsidP="0089414D">
      <w:pPr>
        <w:spacing w:after="120"/>
        <w:rPr>
          <w:rFonts w:cs="Calibri"/>
        </w:rPr>
      </w:pPr>
      <w:r w:rsidRPr="006D07FA">
        <w:rPr>
          <w:rFonts w:cs="Calibri"/>
        </w:rPr>
        <w:t>Completed by clinician (physician, therapist, nurse, psychologist, social worker); some training required and videotape, online training is recommended (see https://www.tbims.org/combi/drs/drstat.html). Administration time is 10 minutes.</w:t>
      </w:r>
    </w:p>
    <w:p w:rsidR="0089414D" w:rsidRPr="006D07FA" w:rsidRDefault="0089414D" w:rsidP="00B12115">
      <w:pPr>
        <w:pStyle w:val="Heading3"/>
      </w:pPr>
      <w:r w:rsidRPr="006D07FA">
        <w:t>COMMENTS</w:t>
      </w:r>
    </w:p>
    <w:p w:rsidR="00FD6879" w:rsidRPr="006D07FA" w:rsidRDefault="00FD6879" w:rsidP="0089414D">
      <w:pPr>
        <w:spacing w:after="120"/>
        <w:rPr>
          <w:rFonts w:cs="Calibri"/>
          <w:b/>
        </w:rPr>
      </w:pPr>
      <w:r w:rsidRPr="006D07FA">
        <w:rPr>
          <w:rFonts w:cs="Calibri"/>
        </w:rPr>
        <w:t xml:space="preserve">Developed and tested with older juvenile and adult individuals with moderate to severe TBI in inpatient rehabilitation setting. </w:t>
      </w:r>
      <w:r w:rsidR="00DD4E6C" w:rsidRPr="006D07FA">
        <w:rPr>
          <w:rFonts w:cs="Calibri"/>
        </w:rPr>
        <w:t xml:space="preserve">It can </w:t>
      </w:r>
      <w:r w:rsidRPr="006D07FA">
        <w:rPr>
          <w:rFonts w:cs="Calibri"/>
        </w:rPr>
        <w:t>be used at all levels of functioning</w:t>
      </w:r>
      <w:r w:rsidR="00D13706" w:rsidRPr="006D07FA">
        <w:rPr>
          <w:rFonts w:cs="Calibri"/>
        </w:rPr>
        <w:t xml:space="preserve">, from </w:t>
      </w:r>
      <w:r w:rsidRPr="006D07FA">
        <w:rPr>
          <w:rFonts w:cs="Calibri"/>
        </w:rPr>
        <w:t xml:space="preserve">coma to </w:t>
      </w:r>
      <w:r w:rsidR="00D13706" w:rsidRPr="006D07FA">
        <w:rPr>
          <w:rFonts w:cs="Calibri"/>
        </w:rPr>
        <w:t xml:space="preserve">return to </w:t>
      </w:r>
      <w:r w:rsidR="00B12115">
        <w:rPr>
          <w:rFonts w:cs="Calibri"/>
        </w:rPr>
        <w:t>community).</w:t>
      </w:r>
    </w:p>
    <w:p w:rsidR="0089414D" w:rsidRPr="006D07FA" w:rsidRDefault="0089414D" w:rsidP="00B12115">
      <w:pPr>
        <w:pStyle w:val="Heading3"/>
      </w:pPr>
      <w:r w:rsidRPr="006D07FA">
        <w:t>RATIONALE</w:t>
      </w:r>
    </w:p>
    <w:p w:rsidR="00FD6879" w:rsidRPr="006D07FA" w:rsidRDefault="00FD6879" w:rsidP="0089414D">
      <w:pPr>
        <w:spacing w:after="120"/>
        <w:rPr>
          <w:rFonts w:cs="Calibri"/>
        </w:rPr>
      </w:pPr>
      <w:r w:rsidRPr="006D07FA">
        <w:rPr>
          <w:rFonts w:cs="Calibri"/>
        </w:rPr>
        <w:t xml:space="preserve">The scale is attractive because it is one of a few measures that can be used in both acute and chronic recovery intervals for moderate to severe TBI, and is useful in monitoring recovery. </w:t>
      </w:r>
      <w:r w:rsidR="00D13706" w:rsidRPr="006D07FA">
        <w:rPr>
          <w:rFonts w:cs="Calibri"/>
        </w:rPr>
        <w:t xml:space="preserve">It has </w:t>
      </w:r>
      <w:r w:rsidRPr="006D07FA">
        <w:rPr>
          <w:rFonts w:cs="Calibri"/>
        </w:rPr>
        <w:t xml:space="preserve">been widely used in studies of TBI and may have greater sensitivity to change than the </w:t>
      </w:r>
      <w:r w:rsidR="00D13706" w:rsidRPr="006D07FA">
        <w:rPr>
          <w:rFonts w:cs="Calibri"/>
        </w:rPr>
        <w:t>Glasgow Outcome Scale</w:t>
      </w:r>
      <w:r w:rsidRPr="006D07FA">
        <w:rPr>
          <w:rFonts w:cs="Calibri"/>
        </w:rPr>
        <w:t>.</w:t>
      </w:r>
    </w:p>
    <w:p w:rsidR="00FD6879" w:rsidRPr="006D07FA" w:rsidRDefault="00B12115" w:rsidP="00B12115">
      <w:pPr>
        <w:pStyle w:val="Heading3"/>
      </w:pPr>
      <w:r>
        <w:t>REFERENCES</w:t>
      </w:r>
    </w:p>
    <w:p w:rsidR="00FD6879" w:rsidRPr="006D07FA" w:rsidRDefault="00FD6879" w:rsidP="0089414D">
      <w:pPr>
        <w:spacing w:after="120"/>
        <w:rPr>
          <w:rFonts w:cs="Calibri"/>
          <w:b/>
        </w:rPr>
      </w:pPr>
      <w:r w:rsidRPr="006D07FA">
        <w:rPr>
          <w:rFonts w:cs="Calibri"/>
        </w:rPr>
        <w:t xml:space="preserve">Rappaport, M., Hall K.M., Hopkins, K., </w:t>
      </w:r>
      <w:proofErr w:type="spellStart"/>
      <w:r w:rsidRPr="006D07FA">
        <w:rPr>
          <w:rFonts w:cs="Calibri"/>
        </w:rPr>
        <w:t>Belleza</w:t>
      </w:r>
      <w:proofErr w:type="spellEnd"/>
      <w:r w:rsidRPr="006D07FA">
        <w:rPr>
          <w:rFonts w:cs="Calibri"/>
        </w:rPr>
        <w:t>, T., Cope, D.N. (1982). Disability Rating Scale for Severe Head Trauma: Coma to Community. Archives of Physical Medicine and Rehabilitation, 63: 118-123.</w:t>
      </w:r>
    </w:p>
    <w:p w:rsidR="0089414D" w:rsidRPr="006D07FA" w:rsidRDefault="006D07FA" w:rsidP="00B12115">
      <w:pPr>
        <w:pStyle w:val="Heading2"/>
        <w:rPr>
          <w:u w:val="single"/>
        </w:rPr>
      </w:pPr>
      <w:r w:rsidRPr="006D07FA">
        <w:br w:type="page"/>
      </w:r>
      <w:r w:rsidR="00272AF0" w:rsidRPr="006D07FA">
        <w:lastRenderedPageBreak/>
        <w:t>Glasgow Outcome Scale (GOS)</w:t>
      </w:r>
      <w:r w:rsidR="00D13706" w:rsidRPr="006D07FA">
        <w:t xml:space="preserve">, </w:t>
      </w:r>
      <w:r w:rsidR="00272AF0" w:rsidRPr="006D07FA">
        <w:t>Glasgow Outcome Scale - Extended (GOSE</w:t>
      </w:r>
      <w:r w:rsidR="0089414D" w:rsidRPr="006D07FA">
        <w:t>)</w:t>
      </w:r>
      <w:r w:rsidR="00D13706" w:rsidRPr="006D07FA">
        <w:t xml:space="preserve">, and Pediatric Revision to Glasgow Outcome Scale – Extended (GOSE </w:t>
      </w:r>
      <w:proofErr w:type="spellStart"/>
      <w:r w:rsidR="00D13706" w:rsidRPr="006D07FA">
        <w:t>Peds</w:t>
      </w:r>
      <w:proofErr w:type="spellEnd"/>
      <w:r w:rsidR="00D13706" w:rsidRPr="006D07FA">
        <w:t>)</w:t>
      </w:r>
    </w:p>
    <w:p w:rsidR="0089414D" w:rsidRPr="006D07FA" w:rsidRDefault="0089414D" w:rsidP="00B12115">
      <w:pPr>
        <w:pStyle w:val="Heading3"/>
      </w:pPr>
      <w:r w:rsidRPr="006D07FA">
        <w:t>DESCRIPTION</w:t>
      </w:r>
    </w:p>
    <w:p w:rsidR="0089414D" w:rsidRPr="006D07FA" w:rsidRDefault="0089414D" w:rsidP="0089414D">
      <w:pPr>
        <w:spacing w:after="120"/>
        <w:rPr>
          <w:rFonts w:cs="Calibri"/>
        </w:rPr>
      </w:pPr>
      <w:r w:rsidRPr="006D07FA">
        <w:rPr>
          <w:rFonts w:cs="Calibri"/>
        </w:rPr>
        <w:t>The GOS is a one item scale with 5 possible ratings - Dead, Vegetative State, Severe Disability, Moderate Disability, and Good Recovery. The GOSE is a revision of the GOS that divides the upper three ratings into upper and lower categories - lower severe disability, upper severe disability, lower moderate disability, upper moderate disability, lower good recovery, upper good recovery.</w:t>
      </w:r>
      <w:r w:rsidR="00D13706" w:rsidRPr="006D07FA">
        <w:rPr>
          <w:rFonts w:cs="Calibri"/>
        </w:rPr>
        <w:t xml:space="preserve"> The GOSE </w:t>
      </w:r>
      <w:proofErr w:type="spellStart"/>
      <w:r w:rsidR="00D13706" w:rsidRPr="006D07FA">
        <w:rPr>
          <w:rFonts w:cs="Calibri"/>
        </w:rPr>
        <w:t>Peds</w:t>
      </w:r>
      <w:proofErr w:type="spellEnd"/>
      <w:r w:rsidR="00D13706" w:rsidRPr="006D07FA">
        <w:rPr>
          <w:rFonts w:cs="Calibri"/>
        </w:rPr>
        <w:t xml:space="preserve"> uses the same 8-point scale as the GOSE, but </w:t>
      </w:r>
      <w:r w:rsidR="00EE3FA8" w:rsidRPr="006D07FA">
        <w:rPr>
          <w:rFonts w:cs="Calibri"/>
        </w:rPr>
        <w:t xml:space="preserve">a </w:t>
      </w:r>
      <w:r w:rsidR="00D13706" w:rsidRPr="006D07FA">
        <w:rPr>
          <w:rFonts w:cs="Calibri"/>
        </w:rPr>
        <w:t>structured interview</w:t>
      </w:r>
      <w:r w:rsidR="00EE3FA8" w:rsidRPr="006D07FA">
        <w:rPr>
          <w:rFonts w:cs="Calibri"/>
        </w:rPr>
        <w:t xml:space="preserve"> appropriate for children is used to arrive at the result on the scale.</w:t>
      </w:r>
    </w:p>
    <w:p w:rsidR="0089414D" w:rsidRPr="006D07FA" w:rsidRDefault="0089414D" w:rsidP="00B12115">
      <w:pPr>
        <w:pStyle w:val="Heading3"/>
      </w:pPr>
      <w:r w:rsidRPr="006D07FA">
        <w:t xml:space="preserve">PERMISSIBLE VALUES </w:t>
      </w:r>
    </w:p>
    <w:p w:rsidR="0089414D" w:rsidRPr="006D07FA" w:rsidRDefault="0089414D" w:rsidP="0089414D">
      <w:pPr>
        <w:spacing w:after="120"/>
        <w:rPr>
          <w:rFonts w:cs="Calibri"/>
        </w:rPr>
      </w:pPr>
      <w:r w:rsidRPr="006D07FA">
        <w:rPr>
          <w:rFonts w:cs="Calibri"/>
        </w:rPr>
        <w:t xml:space="preserve">Ratings for the GOS range from 1 to 5 (Dead to Good Recovery). Ratings for the GOSE </w:t>
      </w:r>
      <w:r w:rsidR="00EE3FA8" w:rsidRPr="006D07FA">
        <w:rPr>
          <w:rFonts w:cs="Calibri"/>
        </w:rPr>
        <w:t xml:space="preserve">and GOSE </w:t>
      </w:r>
      <w:proofErr w:type="spellStart"/>
      <w:r w:rsidR="00EE3FA8" w:rsidRPr="006D07FA">
        <w:rPr>
          <w:rFonts w:cs="Calibri"/>
        </w:rPr>
        <w:t>Peds</w:t>
      </w:r>
      <w:proofErr w:type="spellEnd"/>
      <w:r w:rsidR="00EE3FA8" w:rsidRPr="006D07FA">
        <w:rPr>
          <w:rFonts w:cs="Calibri"/>
        </w:rPr>
        <w:t xml:space="preserve"> </w:t>
      </w:r>
      <w:r w:rsidRPr="006D07FA">
        <w:rPr>
          <w:rFonts w:cs="Calibri"/>
        </w:rPr>
        <w:t>range from 1 to 8 (Dead to Upper Good Recovery).</w:t>
      </w:r>
    </w:p>
    <w:p w:rsidR="0089414D" w:rsidRPr="006D07FA" w:rsidRDefault="0089414D" w:rsidP="00B12115">
      <w:pPr>
        <w:pStyle w:val="Heading3"/>
      </w:pPr>
      <w:r w:rsidRPr="006D07FA">
        <w:t xml:space="preserve">PROCEDURES </w:t>
      </w:r>
    </w:p>
    <w:p w:rsidR="0089414D" w:rsidRPr="006D07FA" w:rsidRDefault="0089414D" w:rsidP="0089414D">
      <w:pPr>
        <w:spacing w:after="120"/>
        <w:rPr>
          <w:rFonts w:cs="Calibri"/>
        </w:rPr>
      </w:pPr>
      <w:r w:rsidRPr="006D07FA">
        <w:rPr>
          <w:rFonts w:cs="Calibri"/>
        </w:rPr>
        <w:t>The GOS</w:t>
      </w:r>
      <w:r w:rsidR="00EE3FA8" w:rsidRPr="006D07FA">
        <w:rPr>
          <w:rFonts w:cs="Calibri"/>
        </w:rPr>
        <w:t xml:space="preserve">, </w:t>
      </w:r>
      <w:r w:rsidRPr="006D07FA">
        <w:rPr>
          <w:rFonts w:cs="Calibri"/>
        </w:rPr>
        <w:t>GOSE</w:t>
      </w:r>
      <w:r w:rsidR="00EE3FA8" w:rsidRPr="006D07FA">
        <w:rPr>
          <w:rFonts w:cs="Calibri"/>
        </w:rPr>
        <w:t xml:space="preserve">, and GOSE </w:t>
      </w:r>
      <w:proofErr w:type="spellStart"/>
      <w:r w:rsidR="00EE3FA8" w:rsidRPr="006D07FA">
        <w:rPr>
          <w:rFonts w:cs="Calibri"/>
        </w:rPr>
        <w:t>Peds</w:t>
      </w:r>
      <w:proofErr w:type="spellEnd"/>
      <w:r w:rsidRPr="006D07FA">
        <w:rPr>
          <w:rFonts w:cs="Calibri"/>
        </w:rPr>
        <w:t xml:space="preserve"> are generally rated by a clinician or research assistant who is familiar with the patient or who conducts a structured interview to obtain needed information. Depending on prior familiarity with the patient, the scale can be completed in as little as 5 minutes.</w:t>
      </w:r>
    </w:p>
    <w:p w:rsidR="0089414D" w:rsidRPr="006D07FA" w:rsidRDefault="0089414D" w:rsidP="00B12115">
      <w:pPr>
        <w:pStyle w:val="Heading3"/>
      </w:pPr>
      <w:r w:rsidRPr="006D07FA">
        <w:t>COMMENTS</w:t>
      </w:r>
    </w:p>
    <w:p w:rsidR="0032333B" w:rsidRPr="006D07FA" w:rsidRDefault="00EE3FA8" w:rsidP="0089414D">
      <w:pPr>
        <w:spacing w:after="120"/>
        <w:rPr>
          <w:rFonts w:cs="Calibri"/>
          <w:b/>
        </w:rPr>
      </w:pPr>
      <w:r w:rsidRPr="006D07FA">
        <w:rPr>
          <w:rFonts w:cs="Calibri"/>
        </w:rPr>
        <w:t>The GOS and GOSE can be used to assess a</w:t>
      </w:r>
      <w:r w:rsidR="0089414D" w:rsidRPr="006D07FA">
        <w:rPr>
          <w:rFonts w:cs="Calibri"/>
        </w:rPr>
        <w:t>dults and children with TBI of any severity. Some have questioned the validity of the GOS/GOSE with children; there</w:t>
      </w:r>
      <w:r w:rsidRPr="006D07FA">
        <w:rPr>
          <w:rFonts w:cs="Calibri"/>
        </w:rPr>
        <w:t>fore</w:t>
      </w:r>
      <w:r w:rsidR="0089414D" w:rsidRPr="006D07FA">
        <w:rPr>
          <w:rFonts w:cs="Calibri"/>
        </w:rPr>
        <w:t xml:space="preserve"> </w:t>
      </w:r>
      <w:r w:rsidRPr="006D07FA">
        <w:rPr>
          <w:rFonts w:cs="Calibri"/>
        </w:rPr>
        <w:t xml:space="preserve">the GOSE </w:t>
      </w:r>
      <w:proofErr w:type="spellStart"/>
      <w:r w:rsidRPr="006D07FA">
        <w:rPr>
          <w:rFonts w:cs="Calibri"/>
        </w:rPr>
        <w:t>Peds</w:t>
      </w:r>
      <w:proofErr w:type="spellEnd"/>
      <w:r w:rsidRPr="006D07FA">
        <w:rPr>
          <w:rFonts w:cs="Calibri"/>
        </w:rPr>
        <w:t xml:space="preserve"> is recommended for </w:t>
      </w:r>
      <w:r w:rsidR="0089414D" w:rsidRPr="006D07FA">
        <w:rPr>
          <w:rFonts w:cs="Calibri"/>
        </w:rPr>
        <w:t>use with children</w:t>
      </w:r>
      <w:r w:rsidRPr="006D07FA">
        <w:rPr>
          <w:rFonts w:cs="Calibri"/>
        </w:rPr>
        <w:t xml:space="preserve"> under 17 years of age</w:t>
      </w:r>
      <w:r w:rsidR="00DD4E6C" w:rsidRPr="006D07FA">
        <w:rPr>
          <w:rFonts w:cs="Calibri"/>
        </w:rPr>
        <w:t>.</w:t>
      </w:r>
    </w:p>
    <w:p w:rsidR="0089414D" w:rsidRPr="006D07FA" w:rsidRDefault="0089414D" w:rsidP="00B12115">
      <w:pPr>
        <w:pStyle w:val="Heading3"/>
      </w:pPr>
      <w:r w:rsidRPr="006D07FA">
        <w:t>RATIONALE</w:t>
      </w:r>
    </w:p>
    <w:p w:rsidR="0089414D" w:rsidRPr="006D07FA" w:rsidRDefault="0089414D" w:rsidP="0089414D">
      <w:pPr>
        <w:spacing w:after="120"/>
        <w:rPr>
          <w:rFonts w:cs="Calibri"/>
        </w:rPr>
      </w:pPr>
      <w:r w:rsidRPr="006D07FA">
        <w:rPr>
          <w:rFonts w:cs="Calibri"/>
        </w:rPr>
        <w:t>The GOS is the most commonly used global outcome in studies of TBI so use of this scale permits comparison to an extensive extant literature on TBI. The GOSE can easily be recoded to the GOS. Extensive literature shows excellent reliability and validity for these scales.</w:t>
      </w:r>
    </w:p>
    <w:p w:rsidR="0089414D" w:rsidRPr="006D07FA" w:rsidRDefault="00B12115" w:rsidP="00B12115">
      <w:pPr>
        <w:pStyle w:val="Heading3"/>
      </w:pPr>
      <w:r>
        <w:t>REFERENCES</w:t>
      </w:r>
    </w:p>
    <w:p w:rsidR="00EE3FA8" w:rsidRPr="006D07FA" w:rsidRDefault="00EE3FA8" w:rsidP="00EE3FA8">
      <w:pPr>
        <w:spacing w:after="120"/>
        <w:rPr>
          <w:rFonts w:cs="Calibri"/>
        </w:rPr>
      </w:pPr>
      <w:r w:rsidRPr="006D07FA">
        <w:rPr>
          <w:rFonts w:cs="Calibri"/>
        </w:rPr>
        <w:t xml:space="preserve">Beers, S., </w:t>
      </w:r>
      <w:proofErr w:type="spellStart"/>
      <w:r w:rsidRPr="006D07FA">
        <w:rPr>
          <w:rFonts w:cs="Calibri"/>
        </w:rPr>
        <w:t>Hahner</w:t>
      </w:r>
      <w:proofErr w:type="spellEnd"/>
      <w:r w:rsidRPr="006D07FA">
        <w:rPr>
          <w:rFonts w:cs="Calibri"/>
        </w:rPr>
        <w:t xml:space="preserve">, T., and </w:t>
      </w:r>
      <w:proofErr w:type="spellStart"/>
      <w:r w:rsidRPr="006D07FA">
        <w:rPr>
          <w:rFonts w:cs="Calibri"/>
        </w:rPr>
        <w:t>Adelson</w:t>
      </w:r>
      <w:proofErr w:type="spellEnd"/>
      <w:r w:rsidRPr="006D07FA">
        <w:rPr>
          <w:rFonts w:cs="Calibri"/>
        </w:rPr>
        <w:t xml:space="preserve">, P. (2005). Validity of a pediatric version of the Glasgow Outcome Scale-Extended (GOSE </w:t>
      </w:r>
      <w:proofErr w:type="spellStart"/>
      <w:r w:rsidRPr="006D07FA">
        <w:rPr>
          <w:rFonts w:cs="Calibri"/>
        </w:rPr>
        <w:t>Peds</w:t>
      </w:r>
      <w:proofErr w:type="spellEnd"/>
      <w:r w:rsidRPr="006D07FA">
        <w:rPr>
          <w:rFonts w:cs="Calibri"/>
        </w:rPr>
        <w:t xml:space="preserve">). J. </w:t>
      </w:r>
      <w:proofErr w:type="spellStart"/>
      <w:r w:rsidRPr="006D07FA">
        <w:rPr>
          <w:rFonts w:cs="Calibri"/>
        </w:rPr>
        <w:t>Neurotrauma</w:t>
      </w:r>
      <w:proofErr w:type="spellEnd"/>
      <w:r w:rsidRPr="006D07FA">
        <w:rPr>
          <w:rFonts w:cs="Calibri"/>
        </w:rPr>
        <w:t xml:space="preserve"> 22, 1224.</w:t>
      </w:r>
    </w:p>
    <w:p w:rsidR="00EE3FA8" w:rsidRPr="006D07FA" w:rsidRDefault="00272AF0" w:rsidP="0089414D">
      <w:pPr>
        <w:spacing w:after="120"/>
        <w:rPr>
          <w:rFonts w:cs="Calibri"/>
        </w:rPr>
      </w:pPr>
      <w:proofErr w:type="spellStart"/>
      <w:r w:rsidRPr="006D07FA">
        <w:rPr>
          <w:rFonts w:cs="Calibri"/>
        </w:rPr>
        <w:t>Jennett</w:t>
      </w:r>
      <w:proofErr w:type="spellEnd"/>
      <w:r w:rsidRPr="006D07FA">
        <w:rPr>
          <w:rFonts w:cs="Calibri"/>
        </w:rPr>
        <w:t xml:space="preserve"> B, Bond M. Assessment of outcome after severe brain injury. A practical scale. Lancet 1975</w:t>
      </w:r>
      <w:proofErr w:type="gramStart"/>
      <w:r w:rsidRPr="006D07FA">
        <w:rPr>
          <w:rFonts w:cs="Calibri"/>
        </w:rPr>
        <w:t>;1:480</w:t>
      </w:r>
      <w:proofErr w:type="gramEnd"/>
      <w:r w:rsidRPr="006D07FA">
        <w:rPr>
          <w:rFonts w:cs="Calibri"/>
        </w:rPr>
        <w:t xml:space="preserve">-484. </w:t>
      </w:r>
    </w:p>
    <w:p w:rsidR="0032333B" w:rsidRPr="006D07FA" w:rsidRDefault="00272AF0" w:rsidP="0089414D">
      <w:pPr>
        <w:spacing w:after="120"/>
        <w:rPr>
          <w:rFonts w:cs="Calibri"/>
        </w:rPr>
      </w:pPr>
      <w:r w:rsidRPr="006D07FA">
        <w:rPr>
          <w:rFonts w:cs="Calibri"/>
        </w:rPr>
        <w:t xml:space="preserve">Wilson JTL, Pettigrew LEL, Teasdale GM. Structured interviews for the Glasgow Outcome Scale and the Extended Glasgow Outcome Scale: Guidelines for their use. J </w:t>
      </w:r>
      <w:proofErr w:type="spellStart"/>
      <w:r w:rsidRPr="006D07FA">
        <w:rPr>
          <w:rFonts w:cs="Calibri"/>
        </w:rPr>
        <w:t>Neurotrauma</w:t>
      </w:r>
      <w:proofErr w:type="spellEnd"/>
      <w:r w:rsidRPr="006D07FA">
        <w:rPr>
          <w:rFonts w:cs="Calibri"/>
        </w:rPr>
        <w:t xml:space="preserve"> 1998</w:t>
      </w:r>
      <w:proofErr w:type="gramStart"/>
      <w:r w:rsidRPr="006D07FA">
        <w:rPr>
          <w:rFonts w:cs="Calibri"/>
        </w:rPr>
        <w:t>;15:573</w:t>
      </w:r>
      <w:proofErr w:type="gramEnd"/>
      <w:r w:rsidRPr="006D07FA">
        <w:rPr>
          <w:rFonts w:cs="Calibri"/>
        </w:rPr>
        <w:t>-85.</w:t>
      </w:r>
    </w:p>
    <w:p w:rsidR="00FD6879" w:rsidRPr="006D07FA" w:rsidRDefault="006D07FA" w:rsidP="00B12115">
      <w:pPr>
        <w:pStyle w:val="Heading2"/>
      </w:pPr>
      <w:r>
        <w:br w:type="page"/>
      </w:r>
      <w:r w:rsidR="00FD6879" w:rsidRPr="006D07FA">
        <w:lastRenderedPageBreak/>
        <w:t>Mayo-Portland Adaptability Inventory (MPAI-4)</w:t>
      </w:r>
    </w:p>
    <w:p w:rsidR="0089414D" w:rsidRPr="006D07FA" w:rsidRDefault="0089414D" w:rsidP="00B12115">
      <w:pPr>
        <w:pStyle w:val="Heading3"/>
      </w:pPr>
      <w:r w:rsidRPr="006D07FA">
        <w:t>DESCRIPTION</w:t>
      </w:r>
    </w:p>
    <w:p w:rsidR="00FD6879" w:rsidRPr="006D07FA" w:rsidRDefault="005641D3" w:rsidP="0089414D">
      <w:pPr>
        <w:spacing w:after="120"/>
        <w:rPr>
          <w:rFonts w:cs="Calibri"/>
          <w:b/>
        </w:rPr>
      </w:pPr>
      <w:r w:rsidRPr="006D07FA">
        <w:rPr>
          <w:rFonts w:cs="Calibri"/>
        </w:rPr>
        <w:t>The MPAI-4 consists of t</w:t>
      </w:r>
      <w:r w:rsidR="00FD6879" w:rsidRPr="006D07FA">
        <w:rPr>
          <w:rFonts w:cs="Calibri"/>
        </w:rPr>
        <w:t>hirty items rated on a 5-point scale (0-4) ranging from normal f</w:t>
      </w:r>
      <w:r w:rsidR="00007B30">
        <w:rPr>
          <w:rFonts w:cs="Calibri"/>
        </w:rPr>
        <w:t xml:space="preserve">or age to severely restricted. </w:t>
      </w:r>
      <w:r w:rsidR="00FD6879" w:rsidRPr="006D07FA">
        <w:rPr>
          <w:rFonts w:cs="Calibri"/>
        </w:rPr>
        <w:t xml:space="preserve">Items represent key indicators in three inter-related subdomains represented by three subscales: Ability Index (physical and cognitive abilities), Adjustment Index (emotional and behavioral self-regulation, interpersonal activities), </w:t>
      </w:r>
      <w:r w:rsidR="00DD4E6C" w:rsidRPr="006D07FA">
        <w:rPr>
          <w:rFonts w:cs="Calibri"/>
        </w:rPr>
        <w:t>and Participation</w:t>
      </w:r>
      <w:r w:rsidR="00FD6879" w:rsidRPr="006D07FA">
        <w:rPr>
          <w:rFonts w:cs="Calibri"/>
        </w:rPr>
        <w:t xml:space="preserve"> Index (community integration). An overall score and scores f</w:t>
      </w:r>
      <w:r w:rsidR="00007B30">
        <w:rPr>
          <w:rFonts w:cs="Calibri"/>
        </w:rPr>
        <w:t xml:space="preserve">or each index may be obtained. </w:t>
      </w:r>
      <w:r w:rsidR="00FD6879" w:rsidRPr="006D07FA">
        <w:rPr>
          <w:rFonts w:cs="Calibri"/>
        </w:rPr>
        <w:t>Specified modifications to the rating scales allow the measure to be applied across the age span fr</w:t>
      </w:r>
      <w:r w:rsidR="00B12115">
        <w:rPr>
          <w:rFonts w:cs="Calibri"/>
        </w:rPr>
        <w:t>om childhood through adulthood.</w:t>
      </w:r>
    </w:p>
    <w:p w:rsidR="0089414D" w:rsidRPr="006D07FA" w:rsidRDefault="0089414D" w:rsidP="00B12115">
      <w:pPr>
        <w:pStyle w:val="Heading3"/>
      </w:pPr>
      <w:r w:rsidRPr="006D07FA">
        <w:t xml:space="preserve">PERMISSIBLE VALUES </w:t>
      </w:r>
    </w:p>
    <w:p w:rsidR="00FD6879" w:rsidRPr="006D07FA" w:rsidRDefault="00007B30" w:rsidP="0089414D">
      <w:pPr>
        <w:spacing w:after="120"/>
        <w:rPr>
          <w:rFonts w:cs="Calibri"/>
          <w:b/>
        </w:rPr>
      </w:pPr>
      <w:r>
        <w:rPr>
          <w:rFonts w:cs="Calibri"/>
        </w:rPr>
        <w:t xml:space="preserve">Total score range = 0-115. </w:t>
      </w:r>
      <w:r w:rsidR="00FD6879" w:rsidRPr="006D07FA">
        <w:rPr>
          <w:rFonts w:cs="Calibri"/>
        </w:rPr>
        <w:t>Raw total and index scores may be converted to T-scores with reference to a national sample of 386</w:t>
      </w:r>
      <w:r w:rsidR="00B12115">
        <w:rPr>
          <w:rFonts w:cs="Calibri"/>
        </w:rPr>
        <w:t xml:space="preserve"> individuals with brain injury.</w:t>
      </w:r>
    </w:p>
    <w:p w:rsidR="0089414D" w:rsidRPr="006D07FA" w:rsidRDefault="0089414D" w:rsidP="00B12115">
      <w:pPr>
        <w:pStyle w:val="Heading3"/>
      </w:pPr>
      <w:r w:rsidRPr="006D07FA">
        <w:t xml:space="preserve">PROCEDURES </w:t>
      </w:r>
    </w:p>
    <w:p w:rsidR="00FD6879" w:rsidRPr="006D07FA" w:rsidRDefault="005641D3" w:rsidP="0089414D">
      <w:pPr>
        <w:spacing w:after="120"/>
        <w:rPr>
          <w:rFonts w:cs="Calibri"/>
          <w:b/>
        </w:rPr>
      </w:pPr>
      <w:r w:rsidRPr="006D07FA">
        <w:rPr>
          <w:rFonts w:cs="Calibri"/>
        </w:rPr>
        <w:t>The test m</w:t>
      </w:r>
      <w:r w:rsidR="00FD6879" w:rsidRPr="006D07FA">
        <w:rPr>
          <w:rFonts w:cs="Calibri"/>
        </w:rPr>
        <w:t>ay be completed by consensus of a professional team, by a single professional, by a person with brain inju</w:t>
      </w:r>
      <w:r w:rsidR="00007B30">
        <w:rPr>
          <w:rFonts w:cs="Calibri"/>
        </w:rPr>
        <w:t xml:space="preserve">ry, or by a significant other. </w:t>
      </w:r>
      <w:r w:rsidR="00FD6879" w:rsidRPr="006D07FA">
        <w:rPr>
          <w:rFonts w:cs="Calibri"/>
        </w:rPr>
        <w:t>Ratings are based</w:t>
      </w:r>
      <w:r w:rsidR="00007B30">
        <w:rPr>
          <w:rFonts w:cs="Calibri"/>
        </w:rPr>
        <w:t xml:space="preserve"> on all available information. </w:t>
      </w:r>
      <w:r w:rsidR="00FD6879" w:rsidRPr="006D07FA">
        <w:rPr>
          <w:rFonts w:cs="Calibri"/>
        </w:rPr>
        <w:t>Completion u</w:t>
      </w:r>
      <w:r w:rsidR="00007B30">
        <w:rPr>
          <w:rFonts w:cs="Calibri"/>
        </w:rPr>
        <w:t xml:space="preserve">sually requires 20-30 minutes. </w:t>
      </w:r>
      <w:r w:rsidR="00FD6879" w:rsidRPr="006D07FA">
        <w:rPr>
          <w:rFonts w:cs="Calibri"/>
        </w:rPr>
        <w:t>Comparison of ratings from various sources, i.e., professional vs. person with brain injury vs. significant others may reveal variations in perception of an</w:t>
      </w:r>
      <w:r w:rsidR="00007B30">
        <w:rPr>
          <w:rFonts w:cs="Calibri"/>
        </w:rPr>
        <w:t xml:space="preserve">d value placed on limitations. </w:t>
      </w:r>
      <w:r w:rsidR="00FD6879" w:rsidRPr="006D07FA">
        <w:rPr>
          <w:rFonts w:cs="Calibri"/>
        </w:rPr>
        <w:t>The 8-item Participation Index can be used independently and administered in person or by telephone to assess Involvement in daily activities in the home and community; compl</w:t>
      </w:r>
      <w:r w:rsidR="00B12115">
        <w:rPr>
          <w:rFonts w:cs="Calibri"/>
        </w:rPr>
        <w:t>etion time is about 10 minutes.</w:t>
      </w:r>
    </w:p>
    <w:p w:rsidR="0089414D" w:rsidRPr="006D07FA" w:rsidRDefault="0089414D" w:rsidP="00B12115">
      <w:pPr>
        <w:pStyle w:val="Heading3"/>
      </w:pPr>
      <w:r w:rsidRPr="006D07FA">
        <w:t>COMMENTS</w:t>
      </w:r>
    </w:p>
    <w:p w:rsidR="00FD6879" w:rsidRPr="006D07FA" w:rsidRDefault="00FD6879" w:rsidP="0089414D">
      <w:pPr>
        <w:spacing w:after="120"/>
        <w:rPr>
          <w:rFonts w:cs="Calibri"/>
          <w:b/>
        </w:rPr>
      </w:pPr>
      <w:r w:rsidRPr="006D07FA">
        <w:rPr>
          <w:rFonts w:cs="Calibri"/>
        </w:rPr>
        <w:t>Adults and childr</w:t>
      </w:r>
      <w:r w:rsidR="00007B30">
        <w:rPr>
          <w:rFonts w:cs="Calibri"/>
        </w:rPr>
        <w:t xml:space="preserve">en with acquired brain injury. </w:t>
      </w:r>
      <w:r w:rsidRPr="006D07FA">
        <w:rPr>
          <w:rFonts w:cs="Calibri"/>
        </w:rPr>
        <w:t xml:space="preserve">Translations </w:t>
      </w:r>
      <w:r w:rsidR="005641D3" w:rsidRPr="006D07FA">
        <w:rPr>
          <w:rFonts w:cs="Calibri"/>
        </w:rPr>
        <w:t xml:space="preserve">are </w:t>
      </w:r>
      <w:r w:rsidRPr="006D07FA">
        <w:rPr>
          <w:rFonts w:cs="Calibri"/>
        </w:rPr>
        <w:t>available in German, Spanish, Danish, Swedish, Fr</w:t>
      </w:r>
      <w:r w:rsidR="00B12115">
        <w:rPr>
          <w:rFonts w:cs="Calibri"/>
        </w:rPr>
        <w:t>ench, Italian, and Portuguese.</w:t>
      </w:r>
    </w:p>
    <w:p w:rsidR="0089414D" w:rsidRPr="006D07FA" w:rsidRDefault="0089414D" w:rsidP="00B12115">
      <w:pPr>
        <w:pStyle w:val="Heading3"/>
      </w:pPr>
      <w:r w:rsidRPr="006D07FA">
        <w:t>RATIONALE</w:t>
      </w:r>
    </w:p>
    <w:p w:rsidR="00FD6879" w:rsidRPr="006D07FA" w:rsidRDefault="005641D3" w:rsidP="0089414D">
      <w:pPr>
        <w:spacing w:after="120"/>
        <w:rPr>
          <w:rFonts w:cs="Calibri"/>
          <w:b/>
        </w:rPr>
      </w:pPr>
      <w:r w:rsidRPr="006D07FA">
        <w:rPr>
          <w:rFonts w:cs="Calibri"/>
        </w:rPr>
        <w:t>The measure was selected t</w:t>
      </w:r>
      <w:r w:rsidR="00FD6879" w:rsidRPr="006D07FA">
        <w:rPr>
          <w:rFonts w:cs="Calibri"/>
        </w:rPr>
        <w:t>o provide more detailed assessment of global outcome as well as restrictions in abilities, adaptation, and par</w:t>
      </w:r>
      <w:r w:rsidR="00007B30">
        <w:rPr>
          <w:rFonts w:cs="Calibri"/>
        </w:rPr>
        <w:t xml:space="preserve">ticipation after brain injury. </w:t>
      </w:r>
      <w:r w:rsidRPr="006D07FA">
        <w:rPr>
          <w:rFonts w:cs="Calibri"/>
        </w:rPr>
        <w:t>It p</w:t>
      </w:r>
      <w:r w:rsidR="00FD6879" w:rsidRPr="006D07FA">
        <w:rPr>
          <w:rFonts w:cs="Calibri"/>
        </w:rPr>
        <w:t>ossesses sound psychometric properties with development grounded in both item response an</w:t>
      </w:r>
      <w:r w:rsidR="00007B30">
        <w:rPr>
          <w:rFonts w:cs="Calibri"/>
        </w:rPr>
        <w:t xml:space="preserve">d classic psychometric theory. </w:t>
      </w:r>
      <w:r w:rsidR="00FD6879" w:rsidRPr="006D07FA">
        <w:rPr>
          <w:rFonts w:cs="Calibri"/>
        </w:rPr>
        <w:t xml:space="preserve">Published studies document concurrent, construct, and predictive validity. </w:t>
      </w:r>
      <w:r w:rsidRPr="006D07FA">
        <w:rPr>
          <w:rFonts w:cs="Calibri"/>
        </w:rPr>
        <w:t>The measure is w</w:t>
      </w:r>
      <w:r w:rsidR="00FD6879" w:rsidRPr="006D07FA">
        <w:rPr>
          <w:rFonts w:cs="Calibri"/>
        </w:rPr>
        <w:t xml:space="preserve">idely used for planning and evaluating </w:t>
      </w:r>
      <w:proofErr w:type="spellStart"/>
      <w:r w:rsidR="00FD6879" w:rsidRPr="006D07FA">
        <w:rPr>
          <w:rFonts w:cs="Calibri"/>
        </w:rPr>
        <w:t>postacture</w:t>
      </w:r>
      <w:proofErr w:type="spellEnd"/>
      <w:r w:rsidR="00FD6879" w:rsidRPr="006D07FA">
        <w:rPr>
          <w:rFonts w:cs="Calibri"/>
        </w:rPr>
        <w:t xml:space="preserve"> rehabilitation. </w:t>
      </w:r>
      <w:r w:rsidRPr="006D07FA">
        <w:rPr>
          <w:rFonts w:cs="Calibri"/>
        </w:rPr>
        <w:t>There is l</w:t>
      </w:r>
      <w:r w:rsidR="00FD6879" w:rsidRPr="006D07FA">
        <w:rPr>
          <w:rFonts w:cs="Calibri"/>
        </w:rPr>
        <w:t>imited use in research studies to-date.</w:t>
      </w:r>
    </w:p>
    <w:p w:rsidR="0089414D" w:rsidRPr="006D07FA" w:rsidRDefault="00B12115" w:rsidP="00B12115">
      <w:pPr>
        <w:pStyle w:val="Heading3"/>
      </w:pPr>
      <w:r>
        <w:t>REFERENCES</w:t>
      </w:r>
    </w:p>
    <w:p w:rsidR="00DD4E6C" w:rsidRPr="006D07FA" w:rsidRDefault="00272AF0" w:rsidP="00272AF0">
      <w:pPr>
        <w:rPr>
          <w:rFonts w:cs="Calibri"/>
        </w:rPr>
      </w:pPr>
      <w:proofErr w:type="spellStart"/>
      <w:r w:rsidRPr="006D07FA">
        <w:rPr>
          <w:rFonts w:cs="Calibri"/>
        </w:rPr>
        <w:t>Malec</w:t>
      </w:r>
      <w:proofErr w:type="spellEnd"/>
      <w:r w:rsidRPr="006D07FA">
        <w:rPr>
          <w:rFonts w:cs="Calibri"/>
        </w:rPr>
        <w:t xml:space="preserve"> JF, </w:t>
      </w:r>
      <w:proofErr w:type="spellStart"/>
      <w:r w:rsidRPr="006D07FA">
        <w:rPr>
          <w:rFonts w:cs="Calibri"/>
        </w:rPr>
        <w:t>Moe</w:t>
      </w:r>
      <w:r w:rsidR="00007B30">
        <w:rPr>
          <w:rFonts w:cs="Calibri"/>
        </w:rPr>
        <w:t>ssner</w:t>
      </w:r>
      <w:proofErr w:type="spellEnd"/>
      <w:r w:rsidR="00007B30">
        <w:rPr>
          <w:rFonts w:cs="Calibri"/>
        </w:rPr>
        <w:t xml:space="preserve"> AM, </w:t>
      </w:r>
      <w:proofErr w:type="spellStart"/>
      <w:r w:rsidR="00007B30">
        <w:rPr>
          <w:rFonts w:cs="Calibri"/>
        </w:rPr>
        <w:t>Kragness</w:t>
      </w:r>
      <w:proofErr w:type="spellEnd"/>
      <w:r w:rsidR="00007B30">
        <w:rPr>
          <w:rFonts w:cs="Calibri"/>
        </w:rPr>
        <w:t xml:space="preserve"> M, </w:t>
      </w:r>
      <w:proofErr w:type="spellStart"/>
      <w:r w:rsidR="00007B30">
        <w:rPr>
          <w:rFonts w:cs="Calibri"/>
        </w:rPr>
        <w:t>Lezak</w:t>
      </w:r>
      <w:proofErr w:type="spellEnd"/>
      <w:r w:rsidR="00007B30">
        <w:rPr>
          <w:rFonts w:cs="Calibri"/>
        </w:rPr>
        <w:t xml:space="preserve"> MD.</w:t>
      </w:r>
      <w:r w:rsidRPr="006D07FA">
        <w:rPr>
          <w:rFonts w:cs="Calibri"/>
        </w:rPr>
        <w:t xml:space="preserve"> Refining a measure of brain injury </w:t>
      </w:r>
      <w:proofErr w:type="spellStart"/>
      <w:r w:rsidRPr="006D07FA">
        <w:rPr>
          <w:rFonts w:cs="Calibri"/>
        </w:rPr>
        <w:t>sequelae</w:t>
      </w:r>
      <w:proofErr w:type="spellEnd"/>
      <w:r w:rsidRPr="006D07FA">
        <w:rPr>
          <w:rFonts w:cs="Calibri"/>
        </w:rPr>
        <w:t xml:space="preserve"> to predict </w:t>
      </w:r>
      <w:proofErr w:type="spellStart"/>
      <w:r w:rsidRPr="006D07FA">
        <w:rPr>
          <w:rFonts w:cs="Calibri"/>
        </w:rPr>
        <w:t>postacute</w:t>
      </w:r>
      <w:proofErr w:type="spellEnd"/>
      <w:r w:rsidRPr="006D07FA">
        <w:rPr>
          <w:rFonts w:cs="Calibri"/>
        </w:rPr>
        <w:t xml:space="preserve"> rehabilitation outcome: rating scale analysis of the Mayo-Portland </w:t>
      </w:r>
      <w:r w:rsidR="00007B30">
        <w:rPr>
          <w:rFonts w:cs="Calibri"/>
        </w:rPr>
        <w:t xml:space="preserve">Adaptability Inventory (MPAI). </w:t>
      </w:r>
      <w:r w:rsidRPr="006D07FA">
        <w:rPr>
          <w:rFonts w:cs="Calibri"/>
        </w:rPr>
        <w:t xml:space="preserve">J Head Trauma </w:t>
      </w:r>
      <w:proofErr w:type="spellStart"/>
      <w:r w:rsidRPr="006D07FA">
        <w:rPr>
          <w:rFonts w:cs="Calibri"/>
        </w:rPr>
        <w:t>Rehabil</w:t>
      </w:r>
      <w:proofErr w:type="spellEnd"/>
      <w:r w:rsidRPr="006D07FA">
        <w:rPr>
          <w:rFonts w:cs="Calibri"/>
        </w:rPr>
        <w:t xml:space="preserve"> 200</w:t>
      </w:r>
      <w:proofErr w:type="gramStart"/>
      <w:r w:rsidRPr="006D07FA">
        <w:rPr>
          <w:rFonts w:cs="Calibri"/>
        </w:rPr>
        <w:t>;15</w:t>
      </w:r>
      <w:proofErr w:type="gramEnd"/>
      <w:r w:rsidRPr="006D07FA">
        <w:rPr>
          <w:rFonts w:cs="Calibri"/>
        </w:rPr>
        <w:t>(1):670-82.</w:t>
      </w:r>
    </w:p>
    <w:p w:rsidR="00FD6879" w:rsidRPr="006D07FA" w:rsidRDefault="00272AF0" w:rsidP="00272AF0">
      <w:pPr>
        <w:rPr>
          <w:rFonts w:cs="Calibri"/>
        </w:rPr>
      </w:pPr>
      <w:proofErr w:type="spellStart"/>
      <w:r w:rsidRPr="006D07FA">
        <w:rPr>
          <w:rFonts w:cs="Calibri"/>
        </w:rPr>
        <w:t>Malec</w:t>
      </w:r>
      <w:proofErr w:type="spellEnd"/>
      <w:r w:rsidRPr="006D07FA">
        <w:rPr>
          <w:rFonts w:cs="Calibri"/>
        </w:rPr>
        <w:t xml:space="preserve"> JF. The Mayo-Portland Participation Index: A brief and psychometrically sound measure of brain injury outcome. Arch Phys Med </w:t>
      </w:r>
      <w:proofErr w:type="spellStart"/>
      <w:r w:rsidRPr="006D07FA">
        <w:rPr>
          <w:rFonts w:cs="Calibri"/>
        </w:rPr>
        <w:t>Rehabil</w:t>
      </w:r>
      <w:proofErr w:type="spellEnd"/>
      <w:r w:rsidRPr="006D07FA">
        <w:rPr>
          <w:rFonts w:cs="Calibri"/>
        </w:rPr>
        <w:t xml:space="preserve"> 2004</w:t>
      </w:r>
      <w:proofErr w:type="gramStart"/>
      <w:r w:rsidRPr="006D07FA">
        <w:rPr>
          <w:rFonts w:cs="Calibri"/>
        </w:rPr>
        <w:t>;85:1</w:t>
      </w:r>
      <w:r w:rsidR="00B12115">
        <w:rPr>
          <w:rFonts w:cs="Calibri"/>
        </w:rPr>
        <w:t>989</w:t>
      </w:r>
      <w:proofErr w:type="gramEnd"/>
      <w:r w:rsidR="00B12115">
        <w:rPr>
          <w:rFonts w:cs="Calibri"/>
        </w:rPr>
        <w:t xml:space="preserve">-96. </w:t>
      </w:r>
    </w:p>
    <w:p w:rsidR="00AC68C0" w:rsidRPr="006D07FA" w:rsidRDefault="00272AF0" w:rsidP="00272AF0">
      <w:pPr>
        <w:rPr>
          <w:rFonts w:cs="Calibri"/>
        </w:rPr>
      </w:pPr>
      <w:r w:rsidRPr="006D07FA">
        <w:rPr>
          <w:rFonts w:cs="Calibri"/>
        </w:rPr>
        <w:lastRenderedPageBreak/>
        <w:t xml:space="preserve">Detailed manual, forms, and translations available for download at: </w:t>
      </w:r>
      <w:hyperlink r:id="rId9" w:history="1">
        <w:r w:rsidR="009877B9">
          <w:rPr>
            <w:rStyle w:val="Hyperlink"/>
            <w:rFonts w:cs="Calibri"/>
          </w:rPr>
          <w:t>The Center for Outcome Measurement in Brain Injury Mayo-Portland Adaptability Inventory Summary</w:t>
        </w:r>
      </w:hyperlink>
    </w:p>
    <w:p w:rsidR="006619D8" w:rsidRPr="006D07FA" w:rsidRDefault="006D07FA" w:rsidP="00B12115">
      <w:pPr>
        <w:pStyle w:val="Heading2"/>
      </w:pPr>
      <w:r w:rsidRPr="006D07FA">
        <w:br w:type="page"/>
      </w:r>
      <w:r w:rsidR="006619D8" w:rsidRPr="006D07FA">
        <w:lastRenderedPageBreak/>
        <w:t xml:space="preserve">Pediatric Quality of Life Inventory </w:t>
      </w:r>
      <w:r w:rsidR="00DD4E6C" w:rsidRPr="006D07FA">
        <w:t>(</w:t>
      </w:r>
      <w:proofErr w:type="spellStart"/>
      <w:r w:rsidR="00DD4E6C" w:rsidRPr="006D07FA">
        <w:t>PedsQL</w:t>
      </w:r>
      <w:proofErr w:type="spellEnd"/>
      <w:r w:rsidR="00DD4E6C" w:rsidRPr="006D07FA">
        <w:t>)</w:t>
      </w:r>
    </w:p>
    <w:p w:rsidR="005641D3" w:rsidRPr="006D07FA" w:rsidRDefault="005641D3" w:rsidP="00B12115">
      <w:pPr>
        <w:pStyle w:val="Heading3"/>
      </w:pPr>
      <w:r w:rsidRPr="006D07FA">
        <w:t>DESCRIPTION</w:t>
      </w:r>
    </w:p>
    <w:p w:rsidR="00DD4E6C" w:rsidRPr="006D07FA" w:rsidRDefault="00DD4E6C" w:rsidP="00997FFD">
      <w:pPr>
        <w:spacing w:after="120"/>
        <w:rPr>
          <w:rFonts w:cs="Calibri"/>
        </w:rPr>
      </w:pPr>
      <w:r w:rsidRPr="006D07FA">
        <w:rPr>
          <w:rFonts w:cs="Calibri"/>
        </w:rPr>
        <w:t xml:space="preserve">The </w:t>
      </w:r>
      <w:proofErr w:type="spellStart"/>
      <w:r w:rsidRPr="006D07FA">
        <w:rPr>
          <w:rFonts w:cs="Calibri"/>
        </w:rPr>
        <w:t>PedsQL</w:t>
      </w:r>
      <w:proofErr w:type="spellEnd"/>
      <w:r w:rsidRPr="006D07FA">
        <w:rPr>
          <w:rFonts w:cs="Calibri"/>
        </w:rPr>
        <w:t xml:space="preserve"> is a 23-item measure that can be used to </w:t>
      </w:r>
      <w:r w:rsidR="00997FFD" w:rsidRPr="006D07FA">
        <w:rPr>
          <w:rFonts w:cs="Calibri"/>
        </w:rPr>
        <w:t>assess</w:t>
      </w:r>
      <w:r w:rsidRPr="006D07FA">
        <w:rPr>
          <w:rFonts w:cs="Calibri"/>
        </w:rPr>
        <w:t xml:space="preserve"> health-related quality of life in children. The measure includes items in the domains of physical, emotional, social and school functioning. </w:t>
      </w:r>
      <w:r w:rsidR="00997FFD" w:rsidRPr="006D07FA">
        <w:rPr>
          <w:rFonts w:cs="Calibri"/>
        </w:rPr>
        <w:t>A</w:t>
      </w:r>
      <w:r w:rsidRPr="006D07FA">
        <w:rPr>
          <w:rFonts w:cs="Calibri"/>
        </w:rPr>
        <w:t xml:space="preserve">ge-appropriate child forms are available </w:t>
      </w:r>
      <w:r w:rsidR="00997FFD" w:rsidRPr="006D07FA">
        <w:rPr>
          <w:rFonts w:cs="Calibri"/>
        </w:rPr>
        <w:t xml:space="preserve">between the ages of 5 and 18, and parent proxy forms can be used down to age 2. Respondents indicate how much each item has been a problem in the past month; responses for 8-18 year old children and for parents are rated on a 5-point </w:t>
      </w:r>
      <w:proofErr w:type="spellStart"/>
      <w:r w:rsidR="00997FFD" w:rsidRPr="006D07FA">
        <w:rPr>
          <w:rFonts w:cs="Calibri"/>
        </w:rPr>
        <w:t>Likert</w:t>
      </w:r>
      <w:proofErr w:type="spellEnd"/>
      <w:r w:rsidR="00997FFD" w:rsidRPr="006D07FA">
        <w:rPr>
          <w:rFonts w:cs="Calibri"/>
        </w:rPr>
        <w:t xml:space="preserve"> scale, while younger children rate their responses on a 3-point scale. A total score and two summary scores for physical health and psychosocial health can be calculated.</w:t>
      </w:r>
    </w:p>
    <w:p w:rsidR="005641D3" w:rsidRPr="006D07FA" w:rsidRDefault="005641D3" w:rsidP="00B12115">
      <w:pPr>
        <w:pStyle w:val="Heading3"/>
      </w:pPr>
      <w:r w:rsidRPr="006D07FA">
        <w:t xml:space="preserve">PERMISSIBLE VALUES </w:t>
      </w:r>
    </w:p>
    <w:p w:rsidR="005641D3" w:rsidRPr="006D07FA" w:rsidRDefault="00997FFD" w:rsidP="005641D3">
      <w:pPr>
        <w:spacing w:after="120"/>
        <w:rPr>
          <w:rFonts w:cs="Calibri"/>
        </w:rPr>
      </w:pPr>
      <w:r w:rsidRPr="006D07FA">
        <w:rPr>
          <w:rFonts w:cs="Calibri"/>
        </w:rPr>
        <w:t xml:space="preserve">The total score is on </w:t>
      </w:r>
      <w:r w:rsidR="005641D3" w:rsidRPr="006D07FA">
        <w:rPr>
          <w:rFonts w:cs="Calibri"/>
        </w:rPr>
        <w:t>a scale from 1-100, with higher scores indicating a higher health-related quality of life.</w:t>
      </w:r>
      <w:r w:rsidRPr="006D07FA">
        <w:rPr>
          <w:rFonts w:cs="Calibri"/>
        </w:rPr>
        <w:t xml:space="preserve"> Summary scores and scores for each subscale are computed by averaging the component item responses, and range between 0-4.</w:t>
      </w:r>
    </w:p>
    <w:p w:rsidR="005641D3" w:rsidRPr="006D07FA" w:rsidRDefault="005641D3" w:rsidP="00B12115">
      <w:pPr>
        <w:pStyle w:val="Heading3"/>
      </w:pPr>
      <w:r w:rsidRPr="006D07FA">
        <w:t>PROCEDURES</w:t>
      </w:r>
    </w:p>
    <w:p w:rsidR="005641D3" w:rsidRPr="006D07FA" w:rsidRDefault="005641D3" w:rsidP="005641D3">
      <w:pPr>
        <w:rPr>
          <w:rFonts w:cs="Calibri"/>
        </w:rPr>
      </w:pPr>
      <w:r w:rsidRPr="006D07FA">
        <w:rPr>
          <w:rFonts w:cs="Calibri"/>
        </w:rPr>
        <w:t xml:space="preserve">The test can be completed in under </w:t>
      </w:r>
      <w:r w:rsidR="00DD4E6C" w:rsidRPr="006D07FA">
        <w:rPr>
          <w:rFonts w:cs="Calibri"/>
        </w:rPr>
        <w:t>5</w:t>
      </w:r>
      <w:r w:rsidRPr="006D07FA">
        <w:rPr>
          <w:rFonts w:cs="Calibri"/>
        </w:rPr>
        <w:t xml:space="preserve"> minutes. Parents and children 8 years or older may self-administer the </w:t>
      </w:r>
      <w:proofErr w:type="spellStart"/>
      <w:r w:rsidRPr="006D07FA">
        <w:rPr>
          <w:rFonts w:cs="Calibri"/>
        </w:rPr>
        <w:t>PedsQL</w:t>
      </w:r>
      <w:proofErr w:type="spellEnd"/>
      <w:r w:rsidRPr="006D07FA">
        <w:rPr>
          <w:rFonts w:cs="Calibri"/>
        </w:rPr>
        <w:t xml:space="preserve"> or the administrator can read the instructions to the child.</w:t>
      </w:r>
    </w:p>
    <w:p w:rsidR="005641D3" w:rsidRPr="006D07FA" w:rsidRDefault="005641D3" w:rsidP="00B12115">
      <w:pPr>
        <w:pStyle w:val="Heading3"/>
      </w:pPr>
      <w:r w:rsidRPr="006D07FA">
        <w:t>COMMENTS</w:t>
      </w:r>
    </w:p>
    <w:p w:rsidR="005641D3" w:rsidRPr="006D07FA" w:rsidRDefault="005641D3" w:rsidP="005641D3">
      <w:pPr>
        <w:rPr>
          <w:rFonts w:cs="Calibri"/>
        </w:rPr>
      </w:pPr>
      <w:r w:rsidRPr="006D07FA">
        <w:rPr>
          <w:rFonts w:cs="Calibri"/>
        </w:rPr>
        <w:t xml:space="preserve">The </w:t>
      </w:r>
      <w:proofErr w:type="spellStart"/>
      <w:r w:rsidRPr="006D07FA">
        <w:rPr>
          <w:rFonts w:cs="Calibri"/>
        </w:rPr>
        <w:t>PedsQL</w:t>
      </w:r>
      <w:proofErr w:type="spellEnd"/>
      <w:r w:rsidRPr="006D07FA">
        <w:rPr>
          <w:rFonts w:cs="Calibri"/>
        </w:rPr>
        <w:t xml:space="preserve"> is appropriate for children and adolescents ages 2-18 years.</w:t>
      </w:r>
    </w:p>
    <w:p w:rsidR="005641D3" w:rsidRPr="006D07FA" w:rsidRDefault="005641D3" w:rsidP="00B12115">
      <w:pPr>
        <w:pStyle w:val="Heading3"/>
      </w:pPr>
      <w:r w:rsidRPr="006D07FA">
        <w:t>RATIONALE</w:t>
      </w:r>
    </w:p>
    <w:p w:rsidR="005641D3" w:rsidRPr="006D07FA" w:rsidRDefault="00281768" w:rsidP="005641D3">
      <w:pPr>
        <w:rPr>
          <w:rFonts w:cs="Calibri"/>
        </w:rPr>
      </w:pPr>
      <w:r>
        <w:rPr>
          <w:rFonts w:cs="Calibri"/>
        </w:rPr>
        <w:t>“It has been used in pediatric TBI and has been translated into over 48 languages including Spanish.” – McCauley et al. 2012</w:t>
      </w:r>
    </w:p>
    <w:p w:rsidR="005641D3" w:rsidRPr="006D07FA" w:rsidRDefault="005641D3" w:rsidP="00B12115">
      <w:pPr>
        <w:pStyle w:val="Heading3"/>
      </w:pPr>
      <w:r w:rsidRPr="006D07FA">
        <w:t>REFERENCES</w:t>
      </w:r>
    </w:p>
    <w:p w:rsidR="005641D3" w:rsidRPr="006D07FA" w:rsidRDefault="005641D3" w:rsidP="005641D3">
      <w:pPr>
        <w:rPr>
          <w:rFonts w:cs="Calibri"/>
        </w:rPr>
      </w:pPr>
      <w:r w:rsidRPr="006D07FA">
        <w:rPr>
          <w:rFonts w:cs="Calibri"/>
        </w:rPr>
        <w:t xml:space="preserve">Aitken, M., McCarthy, M., </w:t>
      </w:r>
      <w:proofErr w:type="spellStart"/>
      <w:r w:rsidRPr="006D07FA">
        <w:rPr>
          <w:rFonts w:cs="Calibri"/>
        </w:rPr>
        <w:t>Slomine</w:t>
      </w:r>
      <w:proofErr w:type="spellEnd"/>
      <w:r w:rsidRPr="006D07FA">
        <w:rPr>
          <w:rFonts w:cs="Calibri"/>
        </w:rPr>
        <w:t xml:space="preserve">, B., Ding, R., Durbin, D., Jaffe, K., </w:t>
      </w:r>
      <w:proofErr w:type="spellStart"/>
      <w:r w:rsidRPr="006D07FA">
        <w:rPr>
          <w:rFonts w:cs="Calibri"/>
        </w:rPr>
        <w:t>Paidas</w:t>
      </w:r>
      <w:proofErr w:type="spellEnd"/>
      <w:r w:rsidRPr="006D07FA">
        <w:rPr>
          <w:rFonts w:cs="Calibri"/>
        </w:rPr>
        <w:t xml:space="preserve">, C., </w:t>
      </w:r>
      <w:proofErr w:type="spellStart"/>
      <w:r w:rsidRPr="006D07FA">
        <w:rPr>
          <w:rFonts w:cs="Calibri"/>
        </w:rPr>
        <w:t>Dorsch</w:t>
      </w:r>
      <w:proofErr w:type="spellEnd"/>
      <w:r w:rsidRPr="006D07FA">
        <w:rPr>
          <w:rFonts w:cs="Calibri"/>
        </w:rPr>
        <w:t>, A., Christensen, J., and Mackenzie, E. (2009). Family burden after traumatic brain injury in children. Pediatrics 123, 199-206.</w:t>
      </w:r>
    </w:p>
    <w:p w:rsidR="005641D3" w:rsidRPr="006D07FA" w:rsidRDefault="005641D3" w:rsidP="005641D3">
      <w:pPr>
        <w:rPr>
          <w:rFonts w:cs="Calibri"/>
        </w:rPr>
      </w:pPr>
      <w:r w:rsidRPr="006D07FA">
        <w:rPr>
          <w:rFonts w:cs="Calibri"/>
        </w:rPr>
        <w:t xml:space="preserve">Calvert, S., Miller, H., Curran, A., Hameed, B., McCarter, R., Edwards, R., Hunt, L., and </w:t>
      </w:r>
      <w:proofErr w:type="spellStart"/>
      <w:r w:rsidRPr="006D07FA">
        <w:rPr>
          <w:rFonts w:cs="Calibri"/>
        </w:rPr>
        <w:t>Sharples</w:t>
      </w:r>
      <w:proofErr w:type="spellEnd"/>
      <w:r w:rsidRPr="006D07FA">
        <w:rPr>
          <w:rFonts w:cs="Calibri"/>
        </w:rPr>
        <w:t>, P. (2008). The King’s outcome scale for childhood head injury and injury severity and outcome measures in children with traumatic brain injury. Developmental Medicine and Child Neurology 50(6), 426-431.</w:t>
      </w:r>
    </w:p>
    <w:p w:rsidR="005641D3" w:rsidRPr="006D07FA" w:rsidRDefault="005641D3" w:rsidP="005641D3">
      <w:pPr>
        <w:rPr>
          <w:rFonts w:cs="Calibri"/>
        </w:rPr>
      </w:pPr>
      <w:r w:rsidRPr="006D07FA">
        <w:rPr>
          <w:rFonts w:cs="Calibri"/>
        </w:rPr>
        <w:t xml:space="preserve">Curran, A., Miller, H., McCarter, R., </w:t>
      </w:r>
      <w:proofErr w:type="spellStart"/>
      <w:r w:rsidRPr="006D07FA">
        <w:rPr>
          <w:rFonts w:cs="Calibri"/>
        </w:rPr>
        <w:t>Sharples</w:t>
      </w:r>
      <w:proofErr w:type="spellEnd"/>
      <w:r w:rsidRPr="006D07FA">
        <w:rPr>
          <w:rFonts w:cs="Calibri"/>
        </w:rPr>
        <w:t xml:space="preserve">, P., and </w:t>
      </w:r>
      <w:proofErr w:type="gramStart"/>
      <w:r w:rsidRPr="006D07FA">
        <w:rPr>
          <w:rFonts w:cs="Calibri"/>
        </w:rPr>
        <w:t>The</w:t>
      </w:r>
      <w:proofErr w:type="gramEnd"/>
      <w:r w:rsidRPr="006D07FA">
        <w:rPr>
          <w:rFonts w:cs="Calibri"/>
        </w:rPr>
        <w:t xml:space="preserve"> Kids Head Injury Study Group (2003). Measuring quality of life after traumatic brain injury in children: How does the Health Utilities Index (HUI) compare to the Pediatric Quality of Life measure (</w:t>
      </w:r>
      <w:proofErr w:type="spellStart"/>
      <w:r w:rsidRPr="006D07FA">
        <w:rPr>
          <w:rFonts w:cs="Calibri"/>
        </w:rPr>
        <w:t>PedsQL</w:t>
      </w:r>
      <w:proofErr w:type="spellEnd"/>
      <w:r w:rsidRPr="006D07FA">
        <w:rPr>
          <w:rFonts w:cs="Calibri"/>
        </w:rPr>
        <w:t>)? Arch Dis Child 88, A24.</w:t>
      </w:r>
    </w:p>
    <w:p w:rsidR="005641D3" w:rsidRPr="006D07FA" w:rsidRDefault="005641D3" w:rsidP="005641D3">
      <w:pPr>
        <w:rPr>
          <w:rFonts w:cs="Calibri"/>
        </w:rPr>
      </w:pPr>
      <w:r w:rsidRPr="006D07FA">
        <w:rPr>
          <w:rFonts w:cs="Calibri"/>
        </w:rPr>
        <w:t xml:space="preserve">Erickson, S., Montague, E., and </w:t>
      </w:r>
      <w:proofErr w:type="spellStart"/>
      <w:r w:rsidRPr="006D07FA">
        <w:rPr>
          <w:rFonts w:cs="Calibri"/>
        </w:rPr>
        <w:t>Gerstle</w:t>
      </w:r>
      <w:proofErr w:type="spellEnd"/>
      <w:r w:rsidRPr="006D07FA">
        <w:rPr>
          <w:rFonts w:cs="Calibri"/>
        </w:rPr>
        <w:t xml:space="preserve">, M. (2010). Health-related quality of life in children with moderate-to-severe traumatic brain injury. Dev </w:t>
      </w:r>
      <w:proofErr w:type="spellStart"/>
      <w:r w:rsidRPr="006D07FA">
        <w:rPr>
          <w:rFonts w:cs="Calibri"/>
        </w:rPr>
        <w:t>Neurorehabil</w:t>
      </w:r>
      <w:proofErr w:type="spellEnd"/>
      <w:r w:rsidRPr="006D07FA">
        <w:rPr>
          <w:rFonts w:cs="Calibri"/>
        </w:rPr>
        <w:t xml:space="preserve"> 13, 175-181.</w:t>
      </w:r>
    </w:p>
    <w:p w:rsidR="005641D3" w:rsidRPr="006D07FA" w:rsidRDefault="005641D3" w:rsidP="005641D3">
      <w:pPr>
        <w:rPr>
          <w:rFonts w:cs="Calibri"/>
        </w:rPr>
      </w:pPr>
      <w:r w:rsidRPr="006D07FA">
        <w:rPr>
          <w:rFonts w:cs="Calibri"/>
        </w:rPr>
        <w:lastRenderedPageBreak/>
        <w:t xml:space="preserve">McCarthy, M. L., </w:t>
      </w:r>
      <w:proofErr w:type="spellStart"/>
      <w:r w:rsidRPr="006D07FA">
        <w:rPr>
          <w:rFonts w:cs="Calibri"/>
        </w:rPr>
        <w:t>MacKenzie</w:t>
      </w:r>
      <w:proofErr w:type="spellEnd"/>
      <w:r w:rsidRPr="006D07FA">
        <w:rPr>
          <w:rFonts w:cs="Calibri"/>
        </w:rPr>
        <w:t xml:space="preserve">, E. J., Durbin, D. R., Aitken, M. E., Jaffe, K. M., </w:t>
      </w:r>
      <w:proofErr w:type="spellStart"/>
      <w:r w:rsidRPr="006D07FA">
        <w:rPr>
          <w:rFonts w:cs="Calibri"/>
        </w:rPr>
        <w:t>Paidas</w:t>
      </w:r>
      <w:proofErr w:type="spellEnd"/>
      <w:r w:rsidRPr="006D07FA">
        <w:rPr>
          <w:rFonts w:cs="Calibri"/>
        </w:rPr>
        <w:t xml:space="preserve">, C. N., </w:t>
      </w:r>
      <w:proofErr w:type="spellStart"/>
      <w:r w:rsidRPr="006D07FA">
        <w:rPr>
          <w:rFonts w:cs="Calibri"/>
        </w:rPr>
        <w:t>Slomine</w:t>
      </w:r>
      <w:proofErr w:type="spellEnd"/>
      <w:r w:rsidRPr="006D07FA">
        <w:rPr>
          <w:rFonts w:cs="Calibri"/>
        </w:rPr>
        <w:t xml:space="preserve">, B. S., </w:t>
      </w:r>
      <w:proofErr w:type="spellStart"/>
      <w:r w:rsidRPr="006D07FA">
        <w:rPr>
          <w:rFonts w:cs="Calibri"/>
        </w:rPr>
        <w:t>Dorsch</w:t>
      </w:r>
      <w:proofErr w:type="spellEnd"/>
      <w:r w:rsidRPr="006D07FA">
        <w:rPr>
          <w:rFonts w:cs="Calibri"/>
        </w:rPr>
        <w:t xml:space="preserve">, A. M., </w:t>
      </w:r>
      <w:proofErr w:type="spellStart"/>
      <w:r w:rsidRPr="006D07FA">
        <w:rPr>
          <w:rFonts w:cs="Calibri"/>
        </w:rPr>
        <w:t>Berk</w:t>
      </w:r>
      <w:proofErr w:type="spellEnd"/>
      <w:r w:rsidRPr="006D07FA">
        <w:rPr>
          <w:rFonts w:cs="Calibri"/>
        </w:rPr>
        <w:t>, R. A., Christensen, J. R., and Ding, R. (2005). The Pediatric Quality of Life Inventory: an evaluation of its reliability and validity for</w:t>
      </w:r>
      <w:r w:rsidR="0084421B" w:rsidRPr="006D07FA">
        <w:rPr>
          <w:rFonts w:cs="Calibri"/>
        </w:rPr>
        <w:t xml:space="preserve"> </w:t>
      </w:r>
      <w:r w:rsidRPr="006D07FA">
        <w:rPr>
          <w:rFonts w:cs="Calibri"/>
        </w:rPr>
        <w:t xml:space="preserve">children with traumatic brain injury. Arch Phys Med </w:t>
      </w:r>
      <w:proofErr w:type="spellStart"/>
      <w:r w:rsidRPr="006D07FA">
        <w:rPr>
          <w:rFonts w:cs="Calibri"/>
        </w:rPr>
        <w:t>Rehabil</w:t>
      </w:r>
      <w:proofErr w:type="spellEnd"/>
      <w:r w:rsidRPr="006D07FA">
        <w:rPr>
          <w:rFonts w:cs="Calibri"/>
        </w:rPr>
        <w:t xml:space="preserve"> 86(10), 1901-1909.</w:t>
      </w:r>
    </w:p>
    <w:p w:rsidR="005641D3" w:rsidRPr="006D07FA" w:rsidRDefault="005641D3" w:rsidP="005641D3">
      <w:pPr>
        <w:rPr>
          <w:rFonts w:cs="Calibri"/>
        </w:rPr>
      </w:pPr>
      <w:r w:rsidRPr="006D07FA">
        <w:rPr>
          <w:rFonts w:cs="Calibri"/>
        </w:rPr>
        <w:t xml:space="preserve">McCarthy, M. L., </w:t>
      </w:r>
      <w:proofErr w:type="spellStart"/>
      <w:r w:rsidRPr="006D07FA">
        <w:rPr>
          <w:rFonts w:cs="Calibri"/>
        </w:rPr>
        <w:t>MacKenzie</w:t>
      </w:r>
      <w:proofErr w:type="spellEnd"/>
      <w:r w:rsidRPr="006D07FA">
        <w:rPr>
          <w:rFonts w:cs="Calibri"/>
        </w:rPr>
        <w:t xml:space="preserve">, E. J., Durbin, D. R., Aitken, M. E., Jaffe, K. M., </w:t>
      </w:r>
      <w:proofErr w:type="spellStart"/>
      <w:r w:rsidRPr="006D07FA">
        <w:rPr>
          <w:rFonts w:cs="Calibri"/>
        </w:rPr>
        <w:t>Paidas</w:t>
      </w:r>
      <w:proofErr w:type="spellEnd"/>
      <w:r w:rsidRPr="006D07FA">
        <w:rPr>
          <w:rFonts w:cs="Calibri"/>
        </w:rPr>
        <w:t xml:space="preserve">, C. N., </w:t>
      </w:r>
      <w:proofErr w:type="spellStart"/>
      <w:r w:rsidRPr="006D07FA">
        <w:rPr>
          <w:rFonts w:cs="Calibri"/>
        </w:rPr>
        <w:t>Slomine</w:t>
      </w:r>
      <w:proofErr w:type="spellEnd"/>
      <w:r w:rsidRPr="006D07FA">
        <w:rPr>
          <w:rFonts w:cs="Calibri"/>
        </w:rPr>
        <w:t xml:space="preserve">, B. S., </w:t>
      </w:r>
      <w:proofErr w:type="spellStart"/>
      <w:r w:rsidRPr="006D07FA">
        <w:rPr>
          <w:rFonts w:cs="Calibri"/>
        </w:rPr>
        <w:t>Dorsch</w:t>
      </w:r>
      <w:proofErr w:type="spellEnd"/>
      <w:r w:rsidRPr="006D07FA">
        <w:rPr>
          <w:rFonts w:cs="Calibri"/>
        </w:rPr>
        <w:t xml:space="preserve">, A. M., Christensen, J. R., and Ding, R. (2006). Health-related quality of life during the first year after traumatic brain injury. Arch </w:t>
      </w:r>
      <w:proofErr w:type="spellStart"/>
      <w:r w:rsidRPr="006D07FA">
        <w:rPr>
          <w:rFonts w:cs="Calibri"/>
        </w:rPr>
        <w:t>Pediatr</w:t>
      </w:r>
      <w:proofErr w:type="spellEnd"/>
      <w:r w:rsidRPr="006D07FA">
        <w:rPr>
          <w:rFonts w:cs="Calibri"/>
        </w:rPr>
        <w:t xml:space="preserve"> </w:t>
      </w:r>
      <w:proofErr w:type="spellStart"/>
      <w:r w:rsidRPr="006D07FA">
        <w:rPr>
          <w:rFonts w:cs="Calibri"/>
        </w:rPr>
        <w:t>Adolesc</w:t>
      </w:r>
      <w:proofErr w:type="spellEnd"/>
      <w:r w:rsidRPr="006D07FA">
        <w:rPr>
          <w:rFonts w:cs="Calibri"/>
        </w:rPr>
        <w:t xml:space="preserve"> Med 160(3), 252-260.</w:t>
      </w:r>
    </w:p>
    <w:p w:rsidR="0084421B" w:rsidRPr="006D07FA" w:rsidRDefault="005641D3" w:rsidP="005641D3">
      <w:pPr>
        <w:rPr>
          <w:rFonts w:cs="Calibri"/>
        </w:rPr>
      </w:pPr>
      <w:r w:rsidRPr="006D07FA">
        <w:rPr>
          <w:rFonts w:cs="Calibri"/>
        </w:rPr>
        <w:t>Moon, R., Sutton, T., Wilson, P., Kirkham, F., and Davies, J. (in press). Pituitary function at long-term follow up of childhood traumat</w:t>
      </w:r>
      <w:r w:rsidR="0084421B" w:rsidRPr="006D07FA">
        <w:rPr>
          <w:rFonts w:cs="Calibri"/>
        </w:rPr>
        <w:t xml:space="preserve">ic brain injury. J </w:t>
      </w:r>
      <w:proofErr w:type="spellStart"/>
      <w:r w:rsidR="0084421B" w:rsidRPr="006D07FA">
        <w:rPr>
          <w:rFonts w:cs="Calibri"/>
        </w:rPr>
        <w:t>Neurotrauma</w:t>
      </w:r>
      <w:proofErr w:type="spellEnd"/>
      <w:r w:rsidR="0084421B" w:rsidRPr="006D07FA">
        <w:rPr>
          <w:rFonts w:cs="Calibri"/>
        </w:rPr>
        <w:t>.</w:t>
      </w:r>
    </w:p>
    <w:p w:rsidR="005641D3" w:rsidRPr="006D07FA" w:rsidRDefault="005641D3" w:rsidP="005641D3">
      <w:pPr>
        <w:rPr>
          <w:rFonts w:cs="Calibri"/>
        </w:rPr>
      </w:pPr>
      <w:proofErr w:type="spellStart"/>
      <w:r w:rsidRPr="006D07FA">
        <w:rPr>
          <w:rFonts w:cs="Calibri"/>
        </w:rPr>
        <w:t>Slomine</w:t>
      </w:r>
      <w:proofErr w:type="spellEnd"/>
      <w:r w:rsidRPr="006D07FA">
        <w:rPr>
          <w:rFonts w:cs="Calibri"/>
        </w:rPr>
        <w:t>, B., McCarthy, M., Ding, R., Mackenzie, E., Jaffe, K., Aitken, M., Durbin, D.,</w:t>
      </w:r>
      <w:r w:rsidR="0084421B" w:rsidRPr="006D07FA">
        <w:rPr>
          <w:rFonts w:cs="Calibri"/>
        </w:rPr>
        <w:t xml:space="preserve"> </w:t>
      </w:r>
      <w:r w:rsidRPr="006D07FA">
        <w:rPr>
          <w:rFonts w:cs="Calibri"/>
        </w:rPr>
        <w:t xml:space="preserve">Christensen, J., </w:t>
      </w:r>
      <w:proofErr w:type="spellStart"/>
      <w:r w:rsidRPr="006D07FA">
        <w:rPr>
          <w:rFonts w:cs="Calibri"/>
        </w:rPr>
        <w:t>Dorsch</w:t>
      </w:r>
      <w:proofErr w:type="spellEnd"/>
      <w:r w:rsidRPr="006D07FA">
        <w:rPr>
          <w:rFonts w:cs="Calibri"/>
        </w:rPr>
        <w:t xml:space="preserve">, A., and </w:t>
      </w:r>
      <w:proofErr w:type="spellStart"/>
      <w:r w:rsidRPr="006D07FA">
        <w:rPr>
          <w:rFonts w:cs="Calibri"/>
        </w:rPr>
        <w:t>Paidas</w:t>
      </w:r>
      <w:proofErr w:type="spellEnd"/>
      <w:r w:rsidRPr="006D07FA">
        <w:rPr>
          <w:rFonts w:cs="Calibri"/>
        </w:rPr>
        <w:t>, C. (2006). Health care utilization and needs after pediatric traumatic brain injury. Pediatrics 117(4), e663-e674.</w:t>
      </w:r>
    </w:p>
    <w:p w:rsidR="0084421B" w:rsidRPr="006D07FA" w:rsidRDefault="0084421B" w:rsidP="0084421B">
      <w:pPr>
        <w:rPr>
          <w:rFonts w:cs="Calibri"/>
        </w:rPr>
      </w:pPr>
      <w:proofErr w:type="spellStart"/>
      <w:r w:rsidRPr="006D07FA">
        <w:rPr>
          <w:rFonts w:cs="Calibri"/>
        </w:rPr>
        <w:t>Varni</w:t>
      </w:r>
      <w:proofErr w:type="spellEnd"/>
      <w:r w:rsidRPr="006D07FA">
        <w:rPr>
          <w:rFonts w:cs="Calibri"/>
        </w:rPr>
        <w:t xml:space="preserve">, J., </w:t>
      </w:r>
      <w:proofErr w:type="spellStart"/>
      <w:r w:rsidRPr="006D07FA">
        <w:rPr>
          <w:rFonts w:cs="Calibri"/>
        </w:rPr>
        <w:t>Burwinkle</w:t>
      </w:r>
      <w:proofErr w:type="spellEnd"/>
      <w:r w:rsidRPr="006D07FA">
        <w:rPr>
          <w:rFonts w:cs="Calibri"/>
        </w:rPr>
        <w:t xml:space="preserve">, T., </w:t>
      </w:r>
      <w:proofErr w:type="spellStart"/>
      <w:r w:rsidRPr="006D07FA">
        <w:rPr>
          <w:rFonts w:cs="Calibri"/>
        </w:rPr>
        <w:t>Seid</w:t>
      </w:r>
      <w:proofErr w:type="spellEnd"/>
      <w:r w:rsidRPr="006D07FA">
        <w:rPr>
          <w:rFonts w:cs="Calibri"/>
        </w:rPr>
        <w:t xml:space="preserve">, M., and </w:t>
      </w:r>
      <w:proofErr w:type="spellStart"/>
      <w:r w:rsidRPr="006D07FA">
        <w:rPr>
          <w:rFonts w:cs="Calibri"/>
        </w:rPr>
        <w:t>Skarr</w:t>
      </w:r>
      <w:proofErr w:type="spellEnd"/>
      <w:r w:rsidRPr="006D07FA">
        <w:rPr>
          <w:rFonts w:cs="Calibri"/>
        </w:rPr>
        <w:t xml:space="preserve">, D. (2003). The </w:t>
      </w:r>
      <w:proofErr w:type="spellStart"/>
      <w:r w:rsidRPr="006D07FA">
        <w:rPr>
          <w:rFonts w:cs="Calibri"/>
        </w:rPr>
        <w:t>PedsQL</w:t>
      </w:r>
      <w:proofErr w:type="spellEnd"/>
      <w:r w:rsidRPr="006D07FA">
        <w:rPr>
          <w:rFonts w:cs="Calibri"/>
        </w:rPr>
        <w:t xml:space="preserve"> 4.0 as a pediatric population health measure: feasibility, reliability, and validity. </w:t>
      </w:r>
      <w:proofErr w:type="spellStart"/>
      <w:r w:rsidRPr="006D07FA">
        <w:rPr>
          <w:rFonts w:cs="Calibri"/>
        </w:rPr>
        <w:t>Ambul</w:t>
      </w:r>
      <w:proofErr w:type="spellEnd"/>
      <w:r w:rsidRPr="006D07FA">
        <w:rPr>
          <w:rFonts w:cs="Calibri"/>
        </w:rPr>
        <w:t xml:space="preserve"> </w:t>
      </w:r>
      <w:proofErr w:type="spellStart"/>
      <w:r w:rsidRPr="006D07FA">
        <w:rPr>
          <w:rFonts w:cs="Calibri"/>
        </w:rPr>
        <w:t>Pediatr</w:t>
      </w:r>
      <w:proofErr w:type="spellEnd"/>
      <w:r w:rsidRPr="006D07FA">
        <w:rPr>
          <w:rFonts w:cs="Calibri"/>
        </w:rPr>
        <w:t xml:space="preserve"> 3(6), 329- 341.</w:t>
      </w:r>
    </w:p>
    <w:p w:rsidR="0084421B" w:rsidRPr="006D07FA" w:rsidRDefault="0084421B" w:rsidP="0084421B">
      <w:pPr>
        <w:rPr>
          <w:rFonts w:cs="Calibri"/>
        </w:rPr>
      </w:pPr>
      <w:proofErr w:type="spellStart"/>
      <w:r w:rsidRPr="006D07FA">
        <w:rPr>
          <w:rFonts w:cs="Calibri"/>
        </w:rPr>
        <w:t>Varni</w:t>
      </w:r>
      <w:proofErr w:type="spellEnd"/>
      <w:r w:rsidRPr="006D07FA">
        <w:rPr>
          <w:rFonts w:cs="Calibri"/>
        </w:rPr>
        <w:t xml:space="preserve">, J., </w:t>
      </w:r>
      <w:proofErr w:type="spellStart"/>
      <w:r w:rsidRPr="006D07FA">
        <w:rPr>
          <w:rFonts w:cs="Calibri"/>
        </w:rPr>
        <w:t>Seid</w:t>
      </w:r>
      <w:proofErr w:type="spellEnd"/>
      <w:r w:rsidRPr="006D07FA">
        <w:rPr>
          <w:rFonts w:cs="Calibri"/>
        </w:rPr>
        <w:t xml:space="preserve">, M., and </w:t>
      </w:r>
      <w:proofErr w:type="spellStart"/>
      <w:r w:rsidRPr="006D07FA">
        <w:rPr>
          <w:rFonts w:cs="Calibri"/>
        </w:rPr>
        <w:t>Kurtin</w:t>
      </w:r>
      <w:proofErr w:type="spellEnd"/>
      <w:r w:rsidRPr="006D07FA">
        <w:rPr>
          <w:rFonts w:cs="Calibri"/>
        </w:rPr>
        <w:t xml:space="preserve">, P. (2001). </w:t>
      </w:r>
      <w:proofErr w:type="spellStart"/>
      <w:r w:rsidRPr="006D07FA">
        <w:rPr>
          <w:rFonts w:cs="Calibri"/>
        </w:rPr>
        <w:t>PedsQL</w:t>
      </w:r>
      <w:proofErr w:type="spellEnd"/>
      <w:r w:rsidRPr="006D07FA">
        <w:rPr>
          <w:rFonts w:cs="Calibri"/>
        </w:rPr>
        <w:t xml:space="preserve"> 4.0: reliability and validity of the Pediatric Quality of Life Inventory version 4.0 generic core scales in healthy and patient populations. Med Care 39(8), 800-812.</w:t>
      </w:r>
    </w:p>
    <w:p w:rsidR="0084421B" w:rsidRPr="006D07FA" w:rsidRDefault="0084421B" w:rsidP="0084421B">
      <w:pPr>
        <w:rPr>
          <w:rFonts w:cs="Calibri"/>
        </w:rPr>
      </w:pPr>
      <w:proofErr w:type="spellStart"/>
      <w:r w:rsidRPr="006D07FA">
        <w:rPr>
          <w:rFonts w:cs="Calibri"/>
        </w:rPr>
        <w:t>Varni</w:t>
      </w:r>
      <w:proofErr w:type="spellEnd"/>
      <w:r w:rsidRPr="006D07FA">
        <w:rPr>
          <w:rFonts w:cs="Calibri"/>
        </w:rPr>
        <w:t xml:space="preserve">, J., </w:t>
      </w:r>
      <w:proofErr w:type="spellStart"/>
      <w:r w:rsidRPr="006D07FA">
        <w:rPr>
          <w:rFonts w:cs="Calibri"/>
        </w:rPr>
        <w:t>Seid</w:t>
      </w:r>
      <w:proofErr w:type="spellEnd"/>
      <w:r w:rsidRPr="006D07FA">
        <w:rPr>
          <w:rFonts w:cs="Calibri"/>
        </w:rPr>
        <w:t xml:space="preserve">, M., and Rode, C. (1999). The </w:t>
      </w:r>
      <w:proofErr w:type="spellStart"/>
      <w:r w:rsidRPr="006D07FA">
        <w:rPr>
          <w:rFonts w:cs="Calibri"/>
        </w:rPr>
        <w:t>PedsQL</w:t>
      </w:r>
      <w:proofErr w:type="spellEnd"/>
      <w:r w:rsidRPr="006D07FA">
        <w:rPr>
          <w:rFonts w:cs="Calibri"/>
        </w:rPr>
        <w:t>: measurement model for the pediatric quality of life inventory. Med Care 37(2), 126-139.</w:t>
      </w:r>
    </w:p>
    <w:p w:rsidR="006619D8" w:rsidRPr="006D07FA" w:rsidRDefault="006D07FA" w:rsidP="00B12115">
      <w:pPr>
        <w:pStyle w:val="Heading2"/>
      </w:pPr>
      <w:r>
        <w:br w:type="page"/>
      </w:r>
      <w:r w:rsidR="006619D8" w:rsidRPr="006D07FA">
        <w:lastRenderedPageBreak/>
        <w:t>Pediatric Test of Brain Injury</w:t>
      </w:r>
    </w:p>
    <w:p w:rsidR="005641D3" w:rsidRPr="006D07FA" w:rsidRDefault="005641D3" w:rsidP="00B12115">
      <w:pPr>
        <w:pStyle w:val="Heading3"/>
      </w:pPr>
      <w:r w:rsidRPr="006D07FA">
        <w:t>DESCRIPTION</w:t>
      </w:r>
    </w:p>
    <w:p w:rsidR="001941B2" w:rsidRPr="001941B2" w:rsidRDefault="00F02202" w:rsidP="00F02202">
      <w:pPr>
        <w:rPr>
          <w:rFonts w:cs="Calibri"/>
        </w:rPr>
      </w:pPr>
      <w:r w:rsidRPr="001941B2">
        <w:rPr>
          <w:rFonts w:cs="Calibri"/>
        </w:rPr>
        <w:t xml:space="preserve">The PTBI </w:t>
      </w:r>
      <w:r w:rsidR="001941B2">
        <w:rPr>
          <w:rFonts w:cs="Calibri"/>
        </w:rPr>
        <w:t>measures neuro</w:t>
      </w:r>
      <w:r w:rsidR="001941B2" w:rsidRPr="001941B2">
        <w:rPr>
          <w:rFonts w:cs="Calibri"/>
        </w:rPr>
        <w:t xml:space="preserve">cognitive and </w:t>
      </w:r>
      <w:r w:rsidR="001941B2">
        <w:rPr>
          <w:rFonts w:cs="Calibri"/>
        </w:rPr>
        <w:t xml:space="preserve">linguistic </w:t>
      </w:r>
      <w:r w:rsidR="001941B2" w:rsidRPr="001941B2">
        <w:rPr>
          <w:rFonts w:cs="Calibri"/>
        </w:rPr>
        <w:t>skill</w:t>
      </w:r>
      <w:r w:rsidR="001941B2">
        <w:rPr>
          <w:rFonts w:cs="Calibri"/>
        </w:rPr>
        <w:t>s after brain injury in children. It is designed to be used in the acute stage for a baseline measure and then in subsequent stages of recovery. It is criterion-referenced and provides cutoffs for appropriate levels of ability for different ages for 10 subtests.</w:t>
      </w:r>
    </w:p>
    <w:p w:rsidR="005641D3" w:rsidRPr="001941B2" w:rsidRDefault="005641D3" w:rsidP="00B12115">
      <w:pPr>
        <w:pStyle w:val="Heading3"/>
      </w:pPr>
      <w:r w:rsidRPr="001941B2">
        <w:t xml:space="preserve">PERMISSIBLE VALUES </w:t>
      </w:r>
    </w:p>
    <w:p w:rsidR="00F02202" w:rsidRPr="001941B2" w:rsidRDefault="001941B2" w:rsidP="001941B2">
      <w:pPr>
        <w:rPr>
          <w:rFonts w:cs="Calibri"/>
          <w:b/>
        </w:rPr>
      </w:pPr>
      <w:r>
        <w:rPr>
          <w:rFonts w:cs="Calibri"/>
        </w:rPr>
        <w:t xml:space="preserve">An ability score can be calculated for each subtest </w:t>
      </w:r>
    </w:p>
    <w:p w:rsidR="005641D3" w:rsidRPr="001941B2" w:rsidRDefault="005641D3" w:rsidP="00B12115">
      <w:pPr>
        <w:pStyle w:val="Heading3"/>
      </w:pPr>
      <w:r w:rsidRPr="001941B2">
        <w:t>PROCEDURES</w:t>
      </w:r>
    </w:p>
    <w:p w:rsidR="00F02202" w:rsidRPr="001941B2" w:rsidRDefault="00F02202" w:rsidP="00F02202">
      <w:pPr>
        <w:rPr>
          <w:rFonts w:cs="Calibri"/>
        </w:rPr>
      </w:pPr>
      <w:r w:rsidRPr="001941B2">
        <w:rPr>
          <w:rFonts w:cs="Calibri"/>
        </w:rPr>
        <w:t>Administration is approximately 30 minutes long and is in an interview format. Administration of the test can occur in one or two sessions.</w:t>
      </w:r>
    </w:p>
    <w:p w:rsidR="005641D3" w:rsidRPr="001941B2" w:rsidRDefault="005641D3" w:rsidP="00B12115">
      <w:pPr>
        <w:pStyle w:val="Heading3"/>
      </w:pPr>
      <w:r w:rsidRPr="001941B2">
        <w:t>COMMENTS</w:t>
      </w:r>
    </w:p>
    <w:p w:rsidR="00F02202" w:rsidRPr="001941B2" w:rsidRDefault="00F02202" w:rsidP="00F02202">
      <w:pPr>
        <w:rPr>
          <w:rFonts w:cs="Calibri"/>
        </w:rPr>
      </w:pPr>
      <w:r w:rsidRPr="001941B2">
        <w:rPr>
          <w:rFonts w:cs="Calibri"/>
        </w:rPr>
        <w:t>For children 6 to 16 years of age who are recovering from TBI.</w:t>
      </w:r>
    </w:p>
    <w:p w:rsidR="005641D3" w:rsidRPr="001941B2" w:rsidRDefault="005641D3" w:rsidP="00B12115">
      <w:pPr>
        <w:pStyle w:val="Heading3"/>
      </w:pPr>
      <w:r w:rsidRPr="001941B2">
        <w:t>RATIONALE</w:t>
      </w:r>
    </w:p>
    <w:p w:rsidR="00F02202" w:rsidRPr="001941B2" w:rsidRDefault="00281768" w:rsidP="00F02202">
      <w:pPr>
        <w:rPr>
          <w:rFonts w:cs="Calibri"/>
        </w:rPr>
      </w:pPr>
      <w:r w:rsidRPr="001941B2">
        <w:rPr>
          <w:rFonts w:cs="Calibri"/>
        </w:rPr>
        <w:t>“</w:t>
      </w:r>
      <w:r w:rsidR="00F02202" w:rsidRPr="001941B2">
        <w:rPr>
          <w:rFonts w:cs="Calibri"/>
        </w:rPr>
        <w:t xml:space="preserve">This measure was selected </w:t>
      </w:r>
      <w:r w:rsidRPr="001941B2">
        <w:rPr>
          <w:rFonts w:cs="Calibri"/>
        </w:rPr>
        <w:t xml:space="preserve">… </w:t>
      </w:r>
      <w:r w:rsidR="00F02202" w:rsidRPr="001941B2">
        <w:rPr>
          <w:rFonts w:cs="Calibri"/>
        </w:rPr>
        <w:t>based upon its specific use and validation in children with acquired brain injury or TBI and its potential usefulness across the spectrum of recovery.</w:t>
      </w:r>
      <w:r w:rsidRPr="001941B2">
        <w:rPr>
          <w:rFonts w:cs="Calibri"/>
        </w:rPr>
        <w:t>” – McCauley et al. 2012</w:t>
      </w:r>
    </w:p>
    <w:p w:rsidR="005641D3" w:rsidRPr="001941B2" w:rsidRDefault="005641D3" w:rsidP="00B12115">
      <w:pPr>
        <w:pStyle w:val="Heading3"/>
      </w:pPr>
      <w:r w:rsidRPr="001941B2">
        <w:t>REFERENCES</w:t>
      </w:r>
    </w:p>
    <w:p w:rsidR="009877B9" w:rsidRDefault="009877B9" w:rsidP="009877B9">
      <w:proofErr w:type="spellStart"/>
      <w:r w:rsidRPr="009877B9">
        <w:t>Hotz</w:t>
      </w:r>
      <w:proofErr w:type="spellEnd"/>
      <w:r w:rsidRPr="009877B9">
        <w:t>, G., Helm–</w:t>
      </w:r>
      <w:proofErr w:type="spellStart"/>
      <w:r w:rsidRPr="009877B9">
        <w:t>Estabrooks</w:t>
      </w:r>
      <w:proofErr w:type="spellEnd"/>
      <w:r w:rsidRPr="009877B9">
        <w:t xml:space="preserve">, N., Nelson, N.W., and </w:t>
      </w:r>
      <w:proofErr w:type="spellStart"/>
      <w:r w:rsidRPr="009877B9">
        <w:t>Plante</w:t>
      </w:r>
      <w:proofErr w:type="spellEnd"/>
      <w:r w:rsidRPr="009877B9">
        <w:t>, E. (2010). Pediatric Test of Brain Injury (PTBI). Paul H. Brookes Publishing Co., Inc.: Baltimore</w:t>
      </w:r>
    </w:p>
    <w:p w:rsidR="00FD6879" w:rsidRPr="006D07FA" w:rsidRDefault="006D07FA" w:rsidP="00B12115">
      <w:pPr>
        <w:pStyle w:val="Heading2"/>
      </w:pPr>
      <w:r>
        <w:br w:type="page"/>
      </w:r>
      <w:r w:rsidR="00FD6879" w:rsidRPr="006D07FA">
        <w:lastRenderedPageBreak/>
        <w:t xml:space="preserve">Short Form-12 Health Survey </w:t>
      </w:r>
    </w:p>
    <w:p w:rsidR="00FD6879" w:rsidRPr="006D07FA" w:rsidRDefault="00FD6879" w:rsidP="00B12115">
      <w:pPr>
        <w:pStyle w:val="Heading3"/>
      </w:pPr>
      <w:r w:rsidRPr="006D07FA">
        <w:t>DESCRIPTION:</w:t>
      </w:r>
    </w:p>
    <w:p w:rsidR="00FD6879" w:rsidRPr="006D07FA" w:rsidRDefault="00FD6879" w:rsidP="00FD6879">
      <w:pPr>
        <w:rPr>
          <w:rFonts w:cs="Calibri"/>
        </w:rPr>
      </w:pPr>
      <w:r w:rsidRPr="006D07FA">
        <w:rPr>
          <w:rFonts w:cs="Calibri"/>
          <w:bCs/>
        </w:rPr>
        <w:t xml:space="preserve">The SF-12 Health Survey is a shorter version of the SF-36 Health Survey, containing 12 items from the SF-36, and is a subjective measure of a patient’s health and well-being. Items are in a </w:t>
      </w:r>
      <w:proofErr w:type="spellStart"/>
      <w:r w:rsidRPr="006D07FA">
        <w:rPr>
          <w:rFonts w:cs="Calibri"/>
          <w:bCs/>
        </w:rPr>
        <w:t>likert</w:t>
      </w:r>
      <w:proofErr w:type="spellEnd"/>
      <w:r w:rsidRPr="006D07FA">
        <w:rPr>
          <w:rFonts w:cs="Calibri"/>
          <w:bCs/>
        </w:rPr>
        <w:t xml:space="preserve">-scale format. Eight </w:t>
      </w:r>
      <w:r w:rsidRPr="006D07FA">
        <w:rPr>
          <w:rFonts w:cs="Calibri"/>
        </w:rPr>
        <w:t>sub-scales are part of the survey including Physical Functioning, Role Limitations-Physical, Bodily Pain, General Health, Vitality, Social Functioning, Role Limitations-Emotional, and Mental Health. A physical component score (PCS) and mental component score (MCS) can be computed.</w:t>
      </w:r>
    </w:p>
    <w:p w:rsidR="00B12115" w:rsidRDefault="00B12115" w:rsidP="00B12115">
      <w:pPr>
        <w:pStyle w:val="Heading3"/>
      </w:pPr>
      <w:r>
        <w:t>PERMISSIBLE VALUES:</w:t>
      </w:r>
    </w:p>
    <w:p w:rsidR="00FD6879" w:rsidRPr="006D07FA" w:rsidRDefault="00FD6879" w:rsidP="00FD6879">
      <w:pPr>
        <w:rPr>
          <w:rFonts w:cs="Calibri"/>
        </w:rPr>
      </w:pPr>
      <w:r w:rsidRPr="006D07FA">
        <w:rPr>
          <w:rFonts w:cs="Calibri"/>
        </w:rPr>
        <w:t xml:space="preserve">T-scores (mean = 50, SD = 10) for the eight subscales and the two composite scores (physical and mental component) </w:t>
      </w:r>
    </w:p>
    <w:p w:rsidR="009877B9" w:rsidRDefault="009877B9" w:rsidP="009877B9">
      <w:pPr>
        <w:pStyle w:val="Heading3"/>
      </w:pPr>
      <w:r>
        <w:t>PROCEDURE:</w:t>
      </w:r>
    </w:p>
    <w:p w:rsidR="00FD6879" w:rsidRPr="006D07FA" w:rsidRDefault="00FD6879" w:rsidP="00FD6879">
      <w:pPr>
        <w:rPr>
          <w:rFonts w:cs="Calibri"/>
          <w:b/>
        </w:rPr>
      </w:pPr>
      <w:r w:rsidRPr="006D07FA">
        <w:rPr>
          <w:rFonts w:cs="Calibri"/>
        </w:rPr>
        <w:t>The</w:t>
      </w:r>
      <w:r w:rsidRPr="006D07FA">
        <w:rPr>
          <w:rFonts w:cs="Calibri"/>
          <w:b/>
        </w:rPr>
        <w:t xml:space="preserve"> </w:t>
      </w:r>
      <w:r w:rsidRPr="006D07FA">
        <w:rPr>
          <w:rFonts w:cs="Calibri"/>
        </w:rPr>
        <w:t>SF-12 is s</w:t>
      </w:r>
      <w:r w:rsidRPr="006D07FA">
        <w:rPr>
          <w:rFonts w:cs="Calibri"/>
          <w:bCs/>
        </w:rPr>
        <w:t xml:space="preserve">elf-administered or can be </w:t>
      </w:r>
      <w:r w:rsidRPr="006D07FA">
        <w:rPr>
          <w:rFonts w:cs="Calibri"/>
        </w:rPr>
        <w:t xml:space="preserve">conducted as an interview. It consists of a series of 12 </w:t>
      </w:r>
      <w:proofErr w:type="spellStart"/>
      <w:r w:rsidRPr="006D07FA">
        <w:rPr>
          <w:rFonts w:cs="Calibri"/>
        </w:rPr>
        <w:t>likert</w:t>
      </w:r>
      <w:proofErr w:type="spellEnd"/>
      <w:r w:rsidRPr="006D07FA">
        <w:rPr>
          <w:rFonts w:cs="Calibri"/>
        </w:rPr>
        <w:t>-style questions and can be completed in 2-3 minutes.</w:t>
      </w:r>
    </w:p>
    <w:p w:rsidR="00FD6879" w:rsidRPr="006D07FA" w:rsidRDefault="00FD6879" w:rsidP="009877B9">
      <w:pPr>
        <w:pStyle w:val="Heading3"/>
      </w:pPr>
      <w:r w:rsidRPr="006D07FA">
        <w:t>COMMENTS:</w:t>
      </w:r>
    </w:p>
    <w:p w:rsidR="00FD6879" w:rsidRPr="006D07FA" w:rsidRDefault="00FD6879" w:rsidP="00FD6879">
      <w:pPr>
        <w:autoSpaceDE w:val="0"/>
        <w:autoSpaceDN w:val="0"/>
        <w:adjustRightInd w:val="0"/>
        <w:spacing w:after="0" w:line="240" w:lineRule="auto"/>
        <w:jc w:val="both"/>
        <w:rPr>
          <w:rFonts w:cs="Calibri"/>
        </w:rPr>
      </w:pPr>
      <w:r w:rsidRPr="006D07FA">
        <w:rPr>
          <w:rFonts w:cs="Calibri"/>
        </w:rPr>
        <w:t>This instrument is appropriate for use in adults.</w:t>
      </w:r>
    </w:p>
    <w:p w:rsidR="00FD6879" w:rsidRPr="006D07FA" w:rsidRDefault="00FD6879" w:rsidP="009877B9">
      <w:pPr>
        <w:pStyle w:val="Heading3"/>
      </w:pPr>
      <w:r w:rsidRPr="006D07FA">
        <w:t xml:space="preserve">RATIONALE: </w:t>
      </w:r>
    </w:p>
    <w:p w:rsidR="00FD6879" w:rsidRPr="006D07FA" w:rsidRDefault="00FD6879" w:rsidP="00FD6879">
      <w:pPr>
        <w:rPr>
          <w:rFonts w:cs="Calibri"/>
        </w:rPr>
      </w:pPr>
      <w:r w:rsidRPr="006D07FA">
        <w:rPr>
          <w:rFonts w:cs="Calibri"/>
        </w:rPr>
        <w:t>The SF-12 is quick, easy to administer, and has proven validity in numerous applications. It is available in multiple languages. It is not TBI-specific, and thus can allow comparison with other diseases and the general population.</w:t>
      </w:r>
    </w:p>
    <w:p w:rsidR="00FD6879" w:rsidRPr="006D07FA" w:rsidRDefault="00FD6879" w:rsidP="009877B9">
      <w:pPr>
        <w:pStyle w:val="Heading3"/>
      </w:pPr>
      <w:r w:rsidRPr="006D07FA">
        <w:t>REFERENCES:</w:t>
      </w:r>
    </w:p>
    <w:p w:rsidR="00FD6879" w:rsidRPr="006D07FA" w:rsidRDefault="00FD6879" w:rsidP="00FD6879">
      <w:pPr>
        <w:autoSpaceDE w:val="0"/>
        <w:autoSpaceDN w:val="0"/>
        <w:adjustRightInd w:val="0"/>
        <w:spacing w:after="0" w:line="240" w:lineRule="auto"/>
        <w:jc w:val="both"/>
        <w:rPr>
          <w:rFonts w:cs="Calibri"/>
          <w:b/>
          <w:highlight w:val="yellow"/>
        </w:rPr>
      </w:pPr>
      <w:proofErr w:type="spellStart"/>
      <w:r w:rsidRPr="006D07FA">
        <w:rPr>
          <w:rFonts w:cs="Calibri"/>
        </w:rPr>
        <w:t>Jenkinson</w:t>
      </w:r>
      <w:proofErr w:type="spellEnd"/>
      <w:r w:rsidRPr="006D07FA">
        <w:rPr>
          <w:rFonts w:cs="Calibri"/>
        </w:rPr>
        <w:t xml:space="preserve"> C, </w:t>
      </w:r>
      <w:proofErr w:type="spellStart"/>
      <w:r w:rsidRPr="006D07FA">
        <w:rPr>
          <w:rFonts w:cs="Calibri"/>
        </w:rPr>
        <w:t>Chandola</w:t>
      </w:r>
      <w:proofErr w:type="spellEnd"/>
      <w:r w:rsidRPr="006D07FA">
        <w:rPr>
          <w:rFonts w:cs="Calibri"/>
        </w:rPr>
        <w:t xml:space="preserve"> T, Coulter A, </w:t>
      </w:r>
      <w:proofErr w:type="spellStart"/>
      <w:r w:rsidRPr="006D07FA">
        <w:rPr>
          <w:rFonts w:cs="Calibri"/>
        </w:rPr>
        <w:t>Bruster</w:t>
      </w:r>
      <w:proofErr w:type="spellEnd"/>
      <w:r w:rsidRPr="006D07FA">
        <w:rPr>
          <w:rFonts w:cs="Calibri"/>
        </w:rPr>
        <w:t xml:space="preserve"> S. An assessment of the construct validity of the SF-12 summary scores across ethnic groups. </w:t>
      </w:r>
      <w:r w:rsidRPr="006D07FA">
        <w:rPr>
          <w:rFonts w:cs="Calibri"/>
          <w:i/>
          <w:iCs/>
        </w:rPr>
        <w:t xml:space="preserve">Journal of Public Health Medicine </w:t>
      </w:r>
      <w:r w:rsidRPr="006D07FA">
        <w:rPr>
          <w:rFonts w:cs="Calibri"/>
        </w:rPr>
        <w:t>2001; 23:187-194.</w:t>
      </w:r>
    </w:p>
    <w:p w:rsidR="00AC68C0" w:rsidRPr="006D07FA" w:rsidRDefault="00FD6879" w:rsidP="00FD6879">
      <w:pPr>
        <w:autoSpaceDE w:val="0"/>
        <w:autoSpaceDN w:val="0"/>
        <w:adjustRightInd w:val="0"/>
        <w:spacing w:after="0" w:line="240" w:lineRule="auto"/>
        <w:rPr>
          <w:rFonts w:cs="Calibri"/>
        </w:rPr>
      </w:pPr>
      <w:r w:rsidRPr="006D07FA">
        <w:rPr>
          <w:rFonts w:cs="Calibri"/>
        </w:rPr>
        <w:t xml:space="preserve">Ware Jr. John, E. (2005). Sf-12 health survey (version 1.0). Retrieved from </w:t>
      </w:r>
      <w:hyperlink r:id="rId10" w:history="1">
        <w:r w:rsidR="009877B9">
          <w:rPr>
            <w:rStyle w:val="Hyperlink"/>
            <w:rFonts w:cs="Calibri"/>
          </w:rPr>
          <w:t>University of Wollongong Short Form Health Survey-12 Instrument Review</w:t>
        </w:r>
      </w:hyperlink>
      <w:r w:rsidRPr="006D07FA">
        <w:rPr>
          <w:rFonts w:cs="Calibri"/>
        </w:rPr>
        <w:t xml:space="preserve"> </w:t>
      </w:r>
    </w:p>
    <w:p w:rsidR="00FD6879" w:rsidRPr="006D07FA" w:rsidRDefault="00FD6879" w:rsidP="00AC68C0">
      <w:pPr>
        <w:autoSpaceDE w:val="0"/>
        <w:autoSpaceDN w:val="0"/>
        <w:adjustRightInd w:val="0"/>
        <w:spacing w:after="0" w:line="240" w:lineRule="auto"/>
        <w:rPr>
          <w:rFonts w:cs="Calibri"/>
        </w:rPr>
      </w:pPr>
    </w:p>
    <w:p w:rsidR="00FD6879" w:rsidRPr="006D07FA" w:rsidRDefault="006D07FA" w:rsidP="00B12115">
      <w:pPr>
        <w:pStyle w:val="Heading2"/>
      </w:pPr>
      <w:r>
        <w:br w:type="page"/>
      </w:r>
      <w:r w:rsidR="00FD6879" w:rsidRPr="006D07FA">
        <w:lastRenderedPageBreak/>
        <w:t>Short Form-36 Medical Outcome Study (SF-36 v2)</w:t>
      </w:r>
    </w:p>
    <w:p w:rsidR="00FD6879" w:rsidRPr="006D07FA" w:rsidRDefault="00FD6879" w:rsidP="009877B9">
      <w:pPr>
        <w:pStyle w:val="Heading3"/>
      </w:pPr>
      <w:r w:rsidRPr="006D07FA">
        <w:t>DESCRIPTION</w:t>
      </w:r>
    </w:p>
    <w:p w:rsidR="00FD6879" w:rsidRPr="006D07FA" w:rsidRDefault="00FD6879" w:rsidP="00FD6879">
      <w:pPr>
        <w:spacing w:after="120"/>
        <w:rPr>
          <w:rFonts w:cs="Calibri"/>
        </w:rPr>
      </w:pPr>
      <w:r w:rsidRPr="006D07FA">
        <w:rPr>
          <w:rFonts w:cs="Calibri"/>
        </w:rPr>
        <w:t xml:space="preserve">The SF-36 is a generic subjective health status measure consisting of eleven items in a three to six-point </w:t>
      </w:r>
      <w:proofErr w:type="spellStart"/>
      <w:r w:rsidRPr="006D07FA">
        <w:rPr>
          <w:rFonts w:cs="Calibri"/>
        </w:rPr>
        <w:t>Likert</w:t>
      </w:r>
      <w:proofErr w:type="spellEnd"/>
      <w:r w:rsidRPr="006D07FA">
        <w:rPr>
          <w:rFonts w:cs="Calibri"/>
        </w:rPr>
        <w:t>-scale item format. The eight subscales comprise physical functioning, physical role function, emotional role function, bodily pain, vitality, mental well-being, social functioning, and general health perception. An additional item assesses changes in health status during the last year. Two sum scores can be computed using a freely-available regression-based scoring syntax, the physical component score (PCS) and the mental component score (MCS).</w:t>
      </w:r>
    </w:p>
    <w:p w:rsidR="00FD6879" w:rsidRPr="006D07FA" w:rsidRDefault="00FD6879" w:rsidP="009877B9">
      <w:pPr>
        <w:pStyle w:val="Heading3"/>
      </w:pPr>
      <w:r w:rsidRPr="006D07FA">
        <w:t xml:space="preserve">PERMISSIBLE VALUES </w:t>
      </w:r>
    </w:p>
    <w:p w:rsidR="00FD6879" w:rsidRPr="006D07FA" w:rsidRDefault="00FD6879" w:rsidP="00FD6879">
      <w:pPr>
        <w:spacing w:after="120"/>
        <w:rPr>
          <w:rFonts w:cs="Calibri"/>
        </w:rPr>
      </w:pPr>
      <w:r w:rsidRPr="006D07FA">
        <w:rPr>
          <w:rFonts w:cs="Calibri"/>
        </w:rPr>
        <w:t>The scoring algorithm provides T-scores (mean = 50, SD = 10) for the eight subscales and the two composite scores (physical and mental component). Higher scores indicate better subjective health.</w:t>
      </w:r>
    </w:p>
    <w:p w:rsidR="00FD6879" w:rsidRPr="006D07FA" w:rsidRDefault="00FD6879" w:rsidP="009877B9">
      <w:pPr>
        <w:pStyle w:val="Heading3"/>
      </w:pPr>
      <w:r w:rsidRPr="006D07FA">
        <w:t xml:space="preserve">PROCEDURES </w:t>
      </w:r>
    </w:p>
    <w:p w:rsidR="00FD6879" w:rsidRPr="006D07FA" w:rsidRDefault="00FD6879" w:rsidP="00FD6879">
      <w:pPr>
        <w:spacing w:after="120"/>
        <w:rPr>
          <w:rFonts w:cs="Calibri"/>
        </w:rPr>
      </w:pPr>
      <w:proofErr w:type="spellStart"/>
      <w:r w:rsidRPr="006D07FA">
        <w:rPr>
          <w:rFonts w:cs="Calibri"/>
        </w:rPr>
        <w:t>Self report</w:t>
      </w:r>
      <w:proofErr w:type="spellEnd"/>
      <w:r w:rsidRPr="006D07FA">
        <w:rPr>
          <w:rFonts w:cs="Calibri"/>
        </w:rPr>
        <w:t>, face-to-face inter</w:t>
      </w:r>
      <w:r w:rsidR="00007B30">
        <w:rPr>
          <w:rFonts w:cs="Calibri"/>
        </w:rPr>
        <w:t xml:space="preserve">view, or telephone interview. </w:t>
      </w:r>
      <w:bookmarkStart w:id="0" w:name="_GoBack"/>
      <w:bookmarkEnd w:id="0"/>
      <w:r w:rsidRPr="006D07FA">
        <w:rPr>
          <w:rFonts w:cs="Calibri"/>
        </w:rPr>
        <w:t>Administration time is 5-10 minutes.</w:t>
      </w:r>
    </w:p>
    <w:p w:rsidR="00FD6879" w:rsidRPr="006D07FA" w:rsidRDefault="00FD6879" w:rsidP="009877B9">
      <w:pPr>
        <w:pStyle w:val="Heading3"/>
      </w:pPr>
      <w:r w:rsidRPr="006D07FA">
        <w:t>COMMENTS</w:t>
      </w:r>
    </w:p>
    <w:p w:rsidR="00FD6879" w:rsidRPr="006D07FA" w:rsidRDefault="00FD6879" w:rsidP="00FD6879">
      <w:pPr>
        <w:spacing w:after="120"/>
        <w:rPr>
          <w:rFonts w:cs="Calibri"/>
        </w:rPr>
      </w:pPr>
      <w:r w:rsidRPr="006D07FA">
        <w:rPr>
          <w:rFonts w:cs="Calibri"/>
        </w:rPr>
        <w:t>For u</w:t>
      </w:r>
      <w:r w:rsidR="00B12115">
        <w:rPr>
          <w:rFonts w:cs="Calibri"/>
        </w:rPr>
        <w:t>se with individuals 14-65 years</w:t>
      </w:r>
    </w:p>
    <w:p w:rsidR="00FD6879" w:rsidRPr="006D07FA" w:rsidRDefault="00FD6879" w:rsidP="009877B9">
      <w:pPr>
        <w:pStyle w:val="Heading3"/>
      </w:pPr>
      <w:r w:rsidRPr="006D07FA">
        <w:t>RATIONALE</w:t>
      </w:r>
    </w:p>
    <w:p w:rsidR="00FD6879" w:rsidRPr="006D07FA" w:rsidRDefault="00FD6879" w:rsidP="00FD6879">
      <w:pPr>
        <w:spacing w:after="120"/>
        <w:rPr>
          <w:rFonts w:cs="Calibri"/>
          <w:b/>
        </w:rPr>
      </w:pPr>
      <w:r w:rsidRPr="006D07FA">
        <w:rPr>
          <w:rFonts w:cs="Calibri"/>
        </w:rPr>
        <w:t xml:space="preserve">The SF-36 is the most widely used instrument to assess subjective health. TBI studies show adequate psychometric quality (e.g. </w:t>
      </w:r>
      <w:proofErr w:type="spellStart"/>
      <w:r w:rsidRPr="006D07FA">
        <w:rPr>
          <w:rFonts w:cs="Calibri"/>
        </w:rPr>
        <w:t>Findler</w:t>
      </w:r>
      <w:proofErr w:type="spellEnd"/>
      <w:r w:rsidRPr="006D07FA">
        <w:rPr>
          <w:rFonts w:cs="Calibri"/>
        </w:rPr>
        <w:t xml:space="preserve"> et al. (2001)).</w:t>
      </w:r>
    </w:p>
    <w:p w:rsidR="00FD6879" w:rsidRPr="006D07FA" w:rsidRDefault="00B12115" w:rsidP="009877B9">
      <w:pPr>
        <w:pStyle w:val="Heading3"/>
      </w:pPr>
      <w:r>
        <w:t>REFERENCES</w:t>
      </w:r>
    </w:p>
    <w:p w:rsidR="00390142" w:rsidRPr="006D07FA" w:rsidRDefault="009877B9" w:rsidP="00272AF0">
      <w:pPr>
        <w:rPr>
          <w:rFonts w:cs="Calibri"/>
        </w:rPr>
      </w:pPr>
      <w:r>
        <w:rPr>
          <w:rFonts w:cs="Calibri"/>
        </w:rPr>
        <w:t xml:space="preserve">Ware </w:t>
      </w:r>
      <w:r w:rsidR="00272AF0" w:rsidRPr="006D07FA">
        <w:rPr>
          <w:rFonts w:cs="Calibri"/>
        </w:rPr>
        <w:t xml:space="preserve">JE, </w:t>
      </w:r>
      <w:proofErr w:type="spellStart"/>
      <w:r w:rsidR="00272AF0" w:rsidRPr="006D07FA">
        <w:rPr>
          <w:rFonts w:cs="Calibri"/>
        </w:rPr>
        <w:t>Sherbourne</w:t>
      </w:r>
      <w:proofErr w:type="spellEnd"/>
      <w:r w:rsidR="00272AF0" w:rsidRPr="006D07FA">
        <w:rPr>
          <w:rFonts w:cs="Calibri"/>
        </w:rPr>
        <w:t xml:space="preserve"> CD. The MOS 36-Item Short-Form Health Status Survey (SF-36): 1. Conceptual framework and item selection. Med Care 1992; 30 (6</w:t>
      </w:r>
      <w:r w:rsidR="00390142" w:rsidRPr="006D07FA">
        <w:rPr>
          <w:rFonts w:cs="Calibri"/>
        </w:rPr>
        <w:t>)</w:t>
      </w:r>
    </w:p>
    <w:p w:rsidR="00390142" w:rsidRPr="006D07FA" w:rsidRDefault="00390142" w:rsidP="00272AF0">
      <w:pPr>
        <w:rPr>
          <w:rFonts w:cs="Calibri"/>
        </w:rPr>
      </w:pPr>
      <w:r w:rsidRPr="006D07FA">
        <w:rPr>
          <w:rFonts w:cs="Calibri"/>
        </w:rPr>
        <w:t xml:space="preserve"> </w:t>
      </w:r>
      <w:r w:rsidR="00272AF0" w:rsidRPr="006D07FA">
        <w:rPr>
          <w:rFonts w:cs="Calibri"/>
        </w:rPr>
        <w:t xml:space="preserve">Ware JE, Snow KK, </w:t>
      </w:r>
      <w:proofErr w:type="spellStart"/>
      <w:r w:rsidR="00272AF0" w:rsidRPr="006D07FA">
        <w:rPr>
          <w:rFonts w:cs="Calibri"/>
        </w:rPr>
        <w:t>Kosinski</w:t>
      </w:r>
      <w:proofErr w:type="spellEnd"/>
      <w:r w:rsidR="00272AF0" w:rsidRPr="006D07FA">
        <w:rPr>
          <w:rFonts w:cs="Calibri"/>
        </w:rPr>
        <w:t xml:space="preserve"> M, </w:t>
      </w:r>
      <w:proofErr w:type="spellStart"/>
      <w:r w:rsidR="00272AF0" w:rsidRPr="006D07FA">
        <w:rPr>
          <w:rFonts w:cs="Calibri"/>
        </w:rPr>
        <w:t>Gandek</w:t>
      </w:r>
      <w:proofErr w:type="spellEnd"/>
      <w:r w:rsidR="00272AF0" w:rsidRPr="006D07FA">
        <w:rPr>
          <w:rFonts w:cs="Calibri"/>
        </w:rPr>
        <w:t xml:space="preserve"> B. SF-36 Health Survey manual and interpretation guide. Boston: New England Medical Center, </w:t>
      </w:r>
      <w:proofErr w:type="gramStart"/>
      <w:r w:rsidR="00272AF0" w:rsidRPr="006D07FA">
        <w:rPr>
          <w:rFonts w:cs="Calibri"/>
        </w:rPr>
        <w:t>The</w:t>
      </w:r>
      <w:proofErr w:type="gramEnd"/>
      <w:r w:rsidR="00272AF0" w:rsidRPr="006D07FA">
        <w:rPr>
          <w:rFonts w:cs="Calibri"/>
        </w:rPr>
        <w:t xml:space="preserve"> Health Institute, 1993</w:t>
      </w:r>
    </w:p>
    <w:p w:rsidR="006A6ED8" w:rsidRPr="00B12115" w:rsidRDefault="00272AF0" w:rsidP="006A6ED8">
      <w:pPr>
        <w:rPr>
          <w:rFonts w:cs="Calibri"/>
        </w:rPr>
      </w:pPr>
      <w:proofErr w:type="spellStart"/>
      <w:r w:rsidRPr="006D07FA">
        <w:rPr>
          <w:rFonts w:cs="Calibri"/>
        </w:rPr>
        <w:t>Findler</w:t>
      </w:r>
      <w:proofErr w:type="spellEnd"/>
      <w:r w:rsidRPr="006D07FA">
        <w:rPr>
          <w:rFonts w:cs="Calibri"/>
        </w:rPr>
        <w:t xml:space="preserve"> M, Cantor J, Haddad L, Cordon L, Ashman </w:t>
      </w:r>
      <w:proofErr w:type="gramStart"/>
      <w:r w:rsidRPr="006D07FA">
        <w:rPr>
          <w:rFonts w:cs="Calibri"/>
        </w:rPr>
        <w:t>T .</w:t>
      </w:r>
      <w:proofErr w:type="gramEnd"/>
      <w:r w:rsidRPr="006D07FA">
        <w:rPr>
          <w:rFonts w:cs="Calibri"/>
        </w:rPr>
        <w:t xml:space="preserve"> The reliability and validity of the SF-36 health survey questionnaire for use with individuals with traumatic brain injury. Brain Injury 2001; 15 (8): 715-23.</w:t>
      </w:r>
    </w:p>
    <w:sectPr w:rsidR="006A6ED8" w:rsidRPr="00B12115" w:rsidSect="00B502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9B2" w:rsidRDefault="006B59B2" w:rsidP="003256BA">
      <w:pPr>
        <w:spacing w:after="0" w:line="240" w:lineRule="auto"/>
      </w:pPr>
      <w:r>
        <w:separator/>
      </w:r>
    </w:p>
  </w:endnote>
  <w:endnote w:type="continuationSeparator" w:id="0">
    <w:p w:rsidR="006B59B2" w:rsidRDefault="006B59B2" w:rsidP="00325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768" w:rsidRDefault="00007B30" w:rsidP="00007B30">
    <w:pPr>
      <w:pStyle w:val="Footer"/>
      <w:tabs>
        <w:tab w:val="clear" w:pos="4680"/>
      </w:tabs>
      <w:jc w:val="center"/>
    </w:pPr>
    <w:r>
      <w:t>TBI CDE Version 2.0</w:t>
    </w:r>
    <w:r>
      <w:tab/>
      <w:t xml:space="preserve">Page </w:t>
    </w:r>
    <w:r>
      <w:rPr>
        <w:b/>
        <w:bCs/>
      </w:rPr>
      <w:fldChar w:fldCharType="begin"/>
    </w:r>
    <w:r>
      <w:rPr>
        <w:b/>
        <w:bCs/>
      </w:rPr>
      <w:instrText xml:space="preserve"> PAGE  \* Arabic  \* MERGEFORMAT </w:instrText>
    </w:r>
    <w:r>
      <w:rPr>
        <w:b/>
        <w:bCs/>
      </w:rPr>
      <w:fldChar w:fldCharType="separate"/>
    </w:r>
    <w:r w:rsidR="00986990">
      <w:rPr>
        <w:b/>
        <w:bCs/>
        <w:noProof/>
      </w:rPr>
      <w:t>11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986990">
      <w:rPr>
        <w:b/>
        <w:bCs/>
        <w:noProof/>
      </w:rPr>
      <w:t>11</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9B2" w:rsidRDefault="006B59B2" w:rsidP="003256BA">
      <w:pPr>
        <w:spacing w:after="0" w:line="240" w:lineRule="auto"/>
      </w:pPr>
      <w:r>
        <w:separator/>
      </w:r>
    </w:p>
  </w:footnote>
  <w:footnote w:type="continuationSeparator" w:id="0">
    <w:p w:rsidR="006B59B2" w:rsidRDefault="006B59B2" w:rsidP="003256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B30" w:rsidRPr="00B12115" w:rsidRDefault="00007B30" w:rsidP="00007B30">
    <w:pPr>
      <w:pStyle w:val="Heading1"/>
    </w:pPr>
    <w:r w:rsidRPr="00B12115">
      <w:t>Traumatic Brain Injury (TBI) Common Data Element (CDE)</w:t>
    </w:r>
  </w:p>
  <w:p w:rsidR="00007B30" w:rsidRPr="00B12115" w:rsidRDefault="00007B30" w:rsidP="00007B30">
    <w:pPr>
      <w:pStyle w:val="Heading1"/>
    </w:pPr>
    <w:r w:rsidRPr="00B12115">
      <w:t>Outcome Measure Recommendations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07DA4"/>
    <w:multiLevelType w:val="multilevel"/>
    <w:tmpl w:val="BB9852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905A35"/>
    <w:multiLevelType w:val="hybridMultilevel"/>
    <w:tmpl w:val="3A4026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914476"/>
    <w:multiLevelType w:val="hybridMultilevel"/>
    <w:tmpl w:val="33629B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771130"/>
    <w:multiLevelType w:val="hybridMultilevel"/>
    <w:tmpl w:val="B5ECD3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A47F50"/>
    <w:multiLevelType w:val="hybridMultilevel"/>
    <w:tmpl w:val="CFC8C4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8F43A2"/>
    <w:multiLevelType w:val="hybridMultilevel"/>
    <w:tmpl w:val="F0523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8E72F7"/>
    <w:multiLevelType w:val="hybridMultilevel"/>
    <w:tmpl w:val="E55A5C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EE14FD"/>
    <w:multiLevelType w:val="hybridMultilevel"/>
    <w:tmpl w:val="5A249D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AA3F97"/>
    <w:multiLevelType w:val="hybridMultilevel"/>
    <w:tmpl w:val="5308F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DA570C"/>
    <w:multiLevelType w:val="hybridMultilevel"/>
    <w:tmpl w:val="3376B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420597"/>
    <w:multiLevelType w:val="hybridMultilevel"/>
    <w:tmpl w:val="9D789D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61673F"/>
    <w:multiLevelType w:val="hybridMultilevel"/>
    <w:tmpl w:val="5A48E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825C5A"/>
    <w:multiLevelType w:val="hybridMultilevel"/>
    <w:tmpl w:val="4404D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4F18D2"/>
    <w:multiLevelType w:val="multilevel"/>
    <w:tmpl w:val="AB0A0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802AC9"/>
    <w:multiLevelType w:val="hybridMultilevel"/>
    <w:tmpl w:val="5308F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C02253"/>
    <w:multiLevelType w:val="hybridMultilevel"/>
    <w:tmpl w:val="970069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396B9A"/>
    <w:multiLevelType w:val="hybridMultilevel"/>
    <w:tmpl w:val="898C56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EA5272"/>
    <w:multiLevelType w:val="hybridMultilevel"/>
    <w:tmpl w:val="6A2C75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010DBF"/>
    <w:multiLevelType w:val="hybridMultilevel"/>
    <w:tmpl w:val="1B167A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747C42"/>
    <w:multiLevelType w:val="hybridMultilevel"/>
    <w:tmpl w:val="7610AB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561820"/>
    <w:multiLevelType w:val="hybridMultilevel"/>
    <w:tmpl w:val="5308F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7205FB"/>
    <w:multiLevelType w:val="hybridMultilevel"/>
    <w:tmpl w:val="AA7CE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4541D6"/>
    <w:multiLevelType w:val="hybridMultilevel"/>
    <w:tmpl w:val="5308F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97341B"/>
    <w:multiLevelType w:val="hybridMultilevel"/>
    <w:tmpl w:val="C596B9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9D6B2B"/>
    <w:multiLevelType w:val="multilevel"/>
    <w:tmpl w:val="1BC6F6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5B85BE9"/>
    <w:multiLevelType w:val="hybridMultilevel"/>
    <w:tmpl w:val="73CA95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24"/>
  </w:num>
  <w:num w:numId="4">
    <w:abstractNumId w:val="9"/>
  </w:num>
  <w:num w:numId="5">
    <w:abstractNumId w:val="22"/>
  </w:num>
  <w:num w:numId="6">
    <w:abstractNumId w:val="17"/>
  </w:num>
  <w:num w:numId="7">
    <w:abstractNumId w:val="20"/>
  </w:num>
  <w:num w:numId="8">
    <w:abstractNumId w:val="8"/>
  </w:num>
  <w:num w:numId="9">
    <w:abstractNumId w:val="14"/>
  </w:num>
  <w:num w:numId="10">
    <w:abstractNumId w:val="21"/>
  </w:num>
  <w:num w:numId="11">
    <w:abstractNumId w:val="11"/>
  </w:num>
  <w:num w:numId="12">
    <w:abstractNumId w:val="1"/>
  </w:num>
  <w:num w:numId="13">
    <w:abstractNumId w:val="3"/>
  </w:num>
  <w:num w:numId="14">
    <w:abstractNumId w:val="12"/>
  </w:num>
  <w:num w:numId="15">
    <w:abstractNumId w:val="18"/>
  </w:num>
  <w:num w:numId="16">
    <w:abstractNumId w:val="10"/>
  </w:num>
  <w:num w:numId="17">
    <w:abstractNumId w:val="23"/>
  </w:num>
  <w:num w:numId="18">
    <w:abstractNumId w:val="25"/>
  </w:num>
  <w:num w:numId="19">
    <w:abstractNumId w:val="15"/>
  </w:num>
  <w:num w:numId="20">
    <w:abstractNumId w:val="2"/>
  </w:num>
  <w:num w:numId="21">
    <w:abstractNumId w:val="7"/>
  </w:num>
  <w:num w:numId="22">
    <w:abstractNumId w:val="4"/>
  </w:num>
  <w:num w:numId="23">
    <w:abstractNumId w:val="5"/>
  </w:num>
  <w:num w:numId="24">
    <w:abstractNumId w:val="6"/>
  </w:num>
  <w:num w:numId="25">
    <w:abstractNumId w:val="19"/>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42DF"/>
    <w:rsid w:val="00005423"/>
    <w:rsid w:val="00007B30"/>
    <w:rsid w:val="000166F1"/>
    <w:rsid w:val="00036648"/>
    <w:rsid w:val="00067485"/>
    <w:rsid w:val="000923C6"/>
    <w:rsid w:val="000C103F"/>
    <w:rsid w:val="000C677D"/>
    <w:rsid w:val="000E4D62"/>
    <w:rsid w:val="00105870"/>
    <w:rsid w:val="00133519"/>
    <w:rsid w:val="00137957"/>
    <w:rsid w:val="00151EE1"/>
    <w:rsid w:val="00186B84"/>
    <w:rsid w:val="001941B2"/>
    <w:rsid w:val="001A1472"/>
    <w:rsid w:val="001A1BDC"/>
    <w:rsid w:val="001B190F"/>
    <w:rsid w:val="001C3A62"/>
    <w:rsid w:val="001D4F0B"/>
    <w:rsid w:val="00201DB9"/>
    <w:rsid w:val="0022540E"/>
    <w:rsid w:val="0023143B"/>
    <w:rsid w:val="00257409"/>
    <w:rsid w:val="0026399F"/>
    <w:rsid w:val="0026667A"/>
    <w:rsid w:val="00272AF0"/>
    <w:rsid w:val="002772D0"/>
    <w:rsid w:val="00281768"/>
    <w:rsid w:val="00283B0C"/>
    <w:rsid w:val="002A76D8"/>
    <w:rsid w:val="002B2DCC"/>
    <w:rsid w:val="002C18AD"/>
    <w:rsid w:val="002E0240"/>
    <w:rsid w:val="002F045A"/>
    <w:rsid w:val="003017B7"/>
    <w:rsid w:val="0032333B"/>
    <w:rsid w:val="003256BA"/>
    <w:rsid w:val="00331FE7"/>
    <w:rsid w:val="00362150"/>
    <w:rsid w:val="003632F5"/>
    <w:rsid w:val="00370250"/>
    <w:rsid w:val="0038142D"/>
    <w:rsid w:val="00390142"/>
    <w:rsid w:val="00390AFC"/>
    <w:rsid w:val="00397664"/>
    <w:rsid w:val="003A10E2"/>
    <w:rsid w:val="003A684C"/>
    <w:rsid w:val="003A71F0"/>
    <w:rsid w:val="003C1198"/>
    <w:rsid w:val="003C5959"/>
    <w:rsid w:val="003D1229"/>
    <w:rsid w:val="003D1E85"/>
    <w:rsid w:val="003E6CB2"/>
    <w:rsid w:val="003F48E0"/>
    <w:rsid w:val="00407ED8"/>
    <w:rsid w:val="00412771"/>
    <w:rsid w:val="00416C28"/>
    <w:rsid w:val="00425DCE"/>
    <w:rsid w:val="00431050"/>
    <w:rsid w:val="00436F2C"/>
    <w:rsid w:val="00440B65"/>
    <w:rsid w:val="00446D34"/>
    <w:rsid w:val="00451F71"/>
    <w:rsid w:val="00472EB4"/>
    <w:rsid w:val="004A1A0B"/>
    <w:rsid w:val="004A6DFA"/>
    <w:rsid w:val="004A7991"/>
    <w:rsid w:val="004B766F"/>
    <w:rsid w:val="004E73A8"/>
    <w:rsid w:val="00552A1A"/>
    <w:rsid w:val="005641D3"/>
    <w:rsid w:val="0057055B"/>
    <w:rsid w:val="00571C71"/>
    <w:rsid w:val="00575537"/>
    <w:rsid w:val="00577465"/>
    <w:rsid w:val="005779AF"/>
    <w:rsid w:val="00595C38"/>
    <w:rsid w:val="00597B14"/>
    <w:rsid w:val="005A7A94"/>
    <w:rsid w:val="005D1371"/>
    <w:rsid w:val="005D3954"/>
    <w:rsid w:val="005E172F"/>
    <w:rsid w:val="005F2C7C"/>
    <w:rsid w:val="005F4802"/>
    <w:rsid w:val="0061104A"/>
    <w:rsid w:val="006126F3"/>
    <w:rsid w:val="00641332"/>
    <w:rsid w:val="0064276E"/>
    <w:rsid w:val="00656917"/>
    <w:rsid w:val="006619D8"/>
    <w:rsid w:val="006A6ED8"/>
    <w:rsid w:val="006B58A1"/>
    <w:rsid w:val="006B59B2"/>
    <w:rsid w:val="006D07FA"/>
    <w:rsid w:val="006D24E0"/>
    <w:rsid w:val="006F24CB"/>
    <w:rsid w:val="006F327D"/>
    <w:rsid w:val="006F58D1"/>
    <w:rsid w:val="00715490"/>
    <w:rsid w:val="00715E1B"/>
    <w:rsid w:val="0073451E"/>
    <w:rsid w:val="00747374"/>
    <w:rsid w:val="00747B7F"/>
    <w:rsid w:val="00757EB8"/>
    <w:rsid w:val="00761F5E"/>
    <w:rsid w:val="0079543B"/>
    <w:rsid w:val="007A1862"/>
    <w:rsid w:val="007A76D2"/>
    <w:rsid w:val="008122AB"/>
    <w:rsid w:val="0082143F"/>
    <w:rsid w:val="0083461E"/>
    <w:rsid w:val="00837790"/>
    <w:rsid w:val="0084421B"/>
    <w:rsid w:val="008517B1"/>
    <w:rsid w:val="00865F08"/>
    <w:rsid w:val="008711D5"/>
    <w:rsid w:val="00872036"/>
    <w:rsid w:val="00892BFF"/>
    <w:rsid w:val="0089414D"/>
    <w:rsid w:val="00896C1C"/>
    <w:rsid w:val="00897A76"/>
    <w:rsid w:val="008D53AA"/>
    <w:rsid w:val="008E024A"/>
    <w:rsid w:val="008F3218"/>
    <w:rsid w:val="008F563C"/>
    <w:rsid w:val="00915661"/>
    <w:rsid w:val="0095430C"/>
    <w:rsid w:val="00957C3D"/>
    <w:rsid w:val="00986990"/>
    <w:rsid w:val="009877B9"/>
    <w:rsid w:val="009877E3"/>
    <w:rsid w:val="00994F6F"/>
    <w:rsid w:val="00997FFD"/>
    <w:rsid w:val="009D6578"/>
    <w:rsid w:val="009E2D7C"/>
    <w:rsid w:val="009E4116"/>
    <w:rsid w:val="009F3D95"/>
    <w:rsid w:val="00A01395"/>
    <w:rsid w:val="00A113F5"/>
    <w:rsid w:val="00A11547"/>
    <w:rsid w:val="00A342B0"/>
    <w:rsid w:val="00A354C6"/>
    <w:rsid w:val="00A43D8E"/>
    <w:rsid w:val="00A50916"/>
    <w:rsid w:val="00A668FE"/>
    <w:rsid w:val="00A771A0"/>
    <w:rsid w:val="00A77ED9"/>
    <w:rsid w:val="00A91A68"/>
    <w:rsid w:val="00A942DF"/>
    <w:rsid w:val="00AC68C0"/>
    <w:rsid w:val="00AD42B7"/>
    <w:rsid w:val="00AE19BF"/>
    <w:rsid w:val="00B12115"/>
    <w:rsid w:val="00B146A6"/>
    <w:rsid w:val="00B33EFA"/>
    <w:rsid w:val="00B34FCC"/>
    <w:rsid w:val="00B35A36"/>
    <w:rsid w:val="00B37CE3"/>
    <w:rsid w:val="00B50270"/>
    <w:rsid w:val="00B55883"/>
    <w:rsid w:val="00B71CE2"/>
    <w:rsid w:val="00B74F2C"/>
    <w:rsid w:val="00B808CD"/>
    <w:rsid w:val="00B840F4"/>
    <w:rsid w:val="00B92FE1"/>
    <w:rsid w:val="00BA177D"/>
    <w:rsid w:val="00BB167B"/>
    <w:rsid w:val="00BD7D4C"/>
    <w:rsid w:val="00BE295B"/>
    <w:rsid w:val="00C02CD4"/>
    <w:rsid w:val="00C1442F"/>
    <w:rsid w:val="00C638D1"/>
    <w:rsid w:val="00C657EB"/>
    <w:rsid w:val="00C6740D"/>
    <w:rsid w:val="00C80913"/>
    <w:rsid w:val="00C83AC8"/>
    <w:rsid w:val="00C926B3"/>
    <w:rsid w:val="00CD5942"/>
    <w:rsid w:val="00CE6A31"/>
    <w:rsid w:val="00CF3C01"/>
    <w:rsid w:val="00D12D55"/>
    <w:rsid w:val="00D13706"/>
    <w:rsid w:val="00D44C4D"/>
    <w:rsid w:val="00D468A6"/>
    <w:rsid w:val="00D61192"/>
    <w:rsid w:val="00D84A13"/>
    <w:rsid w:val="00D942BF"/>
    <w:rsid w:val="00DD4E6C"/>
    <w:rsid w:val="00DD55DA"/>
    <w:rsid w:val="00DD6C49"/>
    <w:rsid w:val="00DF5B07"/>
    <w:rsid w:val="00E0090D"/>
    <w:rsid w:val="00E20EB1"/>
    <w:rsid w:val="00E41FF2"/>
    <w:rsid w:val="00E51D1C"/>
    <w:rsid w:val="00E53B4C"/>
    <w:rsid w:val="00E712E2"/>
    <w:rsid w:val="00E85E53"/>
    <w:rsid w:val="00EB5061"/>
    <w:rsid w:val="00ED594C"/>
    <w:rsid w:val="00EE3FA8"/>
    <w:rsid w:val="00EF4835"/>
    <w:rsid w:val="00F02202"/>
    <w:rsid w:val="00F173F8"/>
    <w:rsid w:val="00F17B5E"/>
    <w:rsid w:val="00F22CE7"/>
    <w:rsid w:val="00F407D7"/>
    <w:rsid w:val="00F517A6"/>
    <w:rsid w:val="00F858AE"/>
    <w:rsid w:val="00FA6A1A"/>
    <w:rsid w:val="00FB29AD"/>
    <w:rsid w:val="00FC3DFE"/>
    <w:rsid w:val="00FD2B2F"/>
    <w:rsid w:val="00FD6879"/>
    <w:rsid w:val="00FE1FF0"/>
    <w:rsid w:val="00FE5182"/>
    <w:rsid w:val="00FF2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62F12E8-9482-4C5C-92B3-A3A9B0A5E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270"/>
    <w:pPr>
      <w:spacing w:after="200" w:line="276" w:lineRule="auto"/>
    </w:pPr>
    <w:rPr>
      <w:sz w:val="22"/>
      <w:szCs w:val="22"/>
    </w:rPr>
  </w:style>
  <w:style w:type="paragraph" w:styleId="Heading1">
    <w:name w:val="heading 1"/>
    <w:basedOn w:val="Normal"/>
    <w:next w:val="Normal"/>
    <w:link w:val="Heading1Char"/>
    <w:uiPriority w:val="9"/>
    <w:qFormat/>
    <w:rsid w:val="00B12115"/>
    <w:pPr>
      <w:spacing w:after="0"/>
      <w:jc w:val="center"/>
      <w:outlineLvl w:val="0"/>
    </w:pPr>
    <w:rPr>
      <w:rFonts w:cs="Calibri"/>
      <w:b/>
      <w:sz w:val="28"/>
      <w:szCs w:val="28"/>
    </w:rPr>
  </w:style>
  <w:style w:type="paragraph" w:styleId="Heading2">
    <w:name w:val="heading 2"/>
    <w:basedOn w:val="Normal"/>
    <w:next w:val="Normal"/>
    <w:link w:val="Heading2Char"/>
    <w:uiPriority w:val="9"/>
    <w:unhideWhenUsed/>
    <w:qFormat/>
    <w:rsid w:val="00B12115"/>
    <w:pPr>
      <w:outlineLvl w:val="1"/>
    </w:pPr>
    <w:rPr>
      <w:rFonts w:cs="Calibri"/>
      <w:b/>
      <w:sz w:val="24"/>
    </w:rPr>
  </w:style>
  <w:style w:type="paragraph" w:styleId="Heading3">
    <w:name w:val="heading 3"/>
    <w:basedOn w:val="Normal"/>
    <w:next w:val="Default"/>
    <w:link w:val="Heading3Char"/>
    <w:uiPriority w:val="99"/>
    <w:qFormat/>
    <w:rsid w:val="00B12115"/>
    <w:pPr>
      <w:spacing w:after="120"/>
      <w:outlineLvl w:val="2"/>
    </w:pPr>
    <w:rPr>
      <w:rFonts w:cs="Calibri"/>
      <w:b/>
    </w:rPr>
  </w:style>
  <w:style w:type="paragraph" w:styleId="Heading4">
    <w:name w:val="heading 4"/>
    <w:basedOn w:val="Normal"/>
    <w:next w:val="Normal"/>
    <w:link w:val="Heading4Char"/>
    <w:uiPriority w:val="9"/>
    <w:semiHidden/>
    <w:unhideWhenUsed/>
    <w:qFormat/>
    <w:rsid w:val="0022540E"/>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rnl">
    <w:name w:val="jrnl"/>
    <w:basedOn w:val="DefaultParagraphFont"/>
    <w:rsid w:val="0073451E"/>
  </w:style>
  <w:style w:type="paragraph" w:customStyle="1" w:styleId="Default">
    <w:name w:val="Default"/>
    <w:rsid w:val="002B2DCC"/>
    <w:pPr>
      <w:autoSpaceDE w:val="0"/>
      <w:autoSpaceDN w:val="0"/>
      <w:adjustRightInd w:val="0"/>
    </w:pPr>
    <w:rPr>
      <w:rFonts w:ascii="Times New Roman" w:hAnsi="Times New Roman"/>
      <w:color w:val="000000"/>
      <w:sz w:val="24"/>
      <w:szCs w:val="24"/>
    </w:rPr>
  </w:style>
  <w:style w:type="character" w:customStyle="1" w:styleId="Heading3Char">
    <w:name w:val="Heading 3 Char"/>
    <w:link w:val="Heading3"/>
    <w:uiPriority w:val="99"/>
    <w:rsid w:val="00B12115"/>
    <w:rPr>
      <w:rFonts w:cs="Calibri"/>
      <w:b/>
      <w:sz w:val="22"/>
      <w:szCs w:val="22"/>
    </w:rPr>
  </w:style>
  <w:style w:type="character" w:styleId="Strong">
    <w:name w:val="Strong"/>
    <w:uiPriority w:val="22"/>
    <w:qFormat/>
    <w:rsid w:val="002B2DCC"/>
    <w:rPr>
      <w:b/>
      <w:bCs/>
    </w:rPr>
  </w:style>
  <w:style w:type="character" w:styleId="Hyperlink">
    <w:name w:val="Hyperlink"/>
    <w:uiPriority w:val="99"/>
    <w:unhideWhenUsed/>
    <w:rsid w:val="00A668FE"/>
    <w:rPr>
      <w:strike w:val="0"/>
      <w:dstrike w:val="0"/>
      <w:color w:val="0000FF"/>
      <w:u w:val="single"/>
      <w:effect w:val="none"/>
    </w:rPr>
  </w:style>
  <w:style w:type="character" w:customStyle="1" w:styleId="ncitalic1">
    <w:name w:val="ncitalic1"/>
    <w:rsid w:val="00A668FE"/>
    <w:rPr>
      <w:i/>
      <w:iCs/>
      <w:color w:val="000000"/>
    </w:rPr>
  </w:style>
  <w:style w:type="character" w:customStyle="1" w:styleId="meta">
    <w:name w:val="meta"/>
    <w:basedOn w:val="DefaultParagraphFont"/>
    <w:rsid w:val="00AD42B7"/>
  </w:style>
  <w:style w:type="character" w:styleId="FollowedHyperlink">
    <w:name w:val="FollowedHyperlink"/>
    <w:uiPriority w:val="99"/>
    <w:semiHidden/>
    <w:unhideWhenUsed/>
    <w:rsid w:val="006F58D1"/>
    <w:rPr>
      <w:color w:val="800080"/>
      <w:u w:val="single"/>
    </w:rPr>
  </w:style>
  <w:style w:type="character" w:customStyle="1" w:styleId="dnnalignleft">
    <w:name w:val="dnnalignleft"/>
    <w:basedOn w:val="DefaultParagraphFont"/>
    <w:rsid w:val="006F58D1"/>
  </w:style>
  <w:style w:type="character" w:customStyle="1" w:styleId="Heading4Char">
    <w:name w:val="Heading 4 Char"/>
    <w:link w:val="Heading4"/>
    <w:uiPriority w:val="9"/>
    <w:semiHidden/>
    <w:rsid w:val="0022540E"/>
    <w:rPr>
      <w:rFonts w:ascii="Calibri" w:eastAsia="Times New Roman" w:hAnsi="Calibri" w:cs="Times New Roman"/>
      <w:b/>
      <w:bCs/>
      <w:sz w:val="28"/>
      <w:szCs w:val="28"/>
    </w:rPr>
  </w:style>
  <w:style w:type="character" w:customStyle="1" w:styleId="ej-j-source">
    <w:name w:val="ej-j-source"/>
    <w:basedOn w:val="DefaultParagraphFont"/>
    <w:rsid w:val="0022540E"/>
  </w:style>
  <w:style w:type="paragraph" w:styleId="NormalWeb">
    <w:name w:val="Normal (Web)"/>
    <w:basedOn w:val="Normal"/>
    <w:unhideWhenUsed/>
    <w:rsid w:val="00331FE7"/>
    <w:pPr>
      <w:spacing w:before="100" w:beforeAutospacing="1" w:after="100" w:afterAutospacing="1" w:line="240" w:lineRule="auto"/>
    </w:pPr>
    <w:rPr>
      <w:rFonts w:ascii="Times New Roman" w:eastAsia="Times New Roman" w:hAnsi="Times New Roman"/>
      <w:sz w:val="24"/>
      <w:szCs w:val="24"/>
    </w:rPr>
  </w:style>
  <w:style w:type="character" w:customStyle="1" w:styleId="citedby">
    <w:name w:val="citedby_"/>
    <w:rsid w:val="00331FE7"/>
    <w:rPr>
      <w:sz w:val="24"/>
      <w:szCs w:val="24"/>
      <w:bdr w:val="none" w:sz="0" w:space="0" w:color="auto" w:frame="1"/>
      <w:vertAlign w:val="baseline"/>
    </w:rPr>
  </w:style>
  <w:style w:type="character" w:styleId="CommentReference">
    <w:name w:val="annotation reference"/>
    <w:uiPriority w:val="99"/>
    <w:semiHidden/>
    <w:unhideWhenUsed/>
    <w:rsid w:val="00D468A6"/>
    <w:rPr>
      <w:sz w:val="16"/>
      <w:szCs w:val="16"/>
    </w:rPr>
  </w:style>
  <w:style w:type="paragraph" w:styleId="CommentText">
    <w:name w:val="annotation text"/>
    <w:basedOn w:val="Normal"/>
    <w:link w:val="CommentTextChar"/>
    <w:uiPriority w:val="99"/>
    <w:semiHidden/>
    <w:unhideWhenUsed/>
    <w:rsid w:val="00D468A6"/>
    <w:rPr>
      <w:sz w:val="20"/>
      <w:szCs w:val="20"/>
    </w:rPr>
  </w:style>
  <w:style w:type="character" w:customStyle="1" w:styleId="CommentTextChar">
    <w:name w:val="Comment Text Char"/>
    <w:basedOn w:val="DefaultParagraphFont"/>
    <w:link w:val="CommentText"/>
    <w:uiPriority w:val="99"/>
    <w:semiHidden/>
    <w:rsid w:val="00D468A6"/>
  </w:style>
  <w:style w:type="paragraph" w:styleId="CommentSubject">
    <w:name w:val="annotation subject"/>
    <w:basedOn w:val="CommentText"/>
    <w:next w:val="CommentText"/>
    <w:link w:val="CommentSubjectChar"/>
    <w:uiPriority w:val="99"/>
    <w:semiHidden/>
    <w:unhideWhenUsed/>
    <w:rsid w:val="00D468A6"/>
    <w:rPr>
      <w:b/>
      <w:bCs/>
    </w:rPr>
  </w:style>
  <w:style w:type="character" w:customStyle="1" w:styleId="CommentSubjectChar">
    <w:name w:val="Comment Subject Char"/>
    <w:link w:val="CommentSubject"/>
    <w:uiPriority w:val="99"/>
    <w:semiHidden/>
    <w:rsid w:val="00D468A6"/>
    <w:rPr>
      <w:b/>
      <w:bCs/>
    </w:rPr>
  </w:style>
  <w:style w:type="paragraph" w:styleId="BalloonText">
    <w:name w:val="Balloon Text"/>
    <w:basedOn w:val="Normal"/>
    <w:link w:val="BalloonTextChar"/>
    <w:uiPriority w:val="99"/>
    <w:semiHidden/>
    <w:unhideWhenUsed/>
    <w:rsid w:val="00D468A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468A6"/>
    <w:rPr>
      <w:rFonts w:ascii="Tahoma" w:hAnsi="Tahoma" w:cs="Tahoma"/>
      <w:sz w:val="16"/>
      <w:szCs w:val="16"/>
    </w:rPr>
  </w:style>
  <w:style w:type="paragraph" w:styleId="Header">
    <w:name w:val="header"/>
    <w:basedOn w:val="Normal"/>
    <w:link w:val="HeaderChar"/>
    <w:uiPriority w:val="99"/>
    <w:unhideWhenUsed/>
    <w:rsid w:val="003256BA"/>
    <w:pPr>
      <w:tabs>
        <w:tab w:val="center" w:pos="4680"/>
        <w:tab w:val="right" w:pos="9360"/>
      </w:tabs>
    </w:pPr>
  </w:style>
  <w:style w:type="character" w:customStyle="1" w:styleId="HeaderChar">
    <w:name w:val="Header Char"/>
    <w:link w:val="Header"/>
    <w:uiPriority w:val="99"/>
    <w:rsid w:val="003256BA"/>
    <w:rPr>
      <w:sz w:val="22"/>
      <w:szCs w:val="22"/>
    </w:rPr>
  </w:style>
  <w:style w:type="paragraph" w:styleId="Footer">
    <w:name w:val="footer"/>
    <w:basedOn w:val="Normal"/>
    <w:link w:val="FooterChar"/>
    <w:uiPriority w:val="99"/>
    <w:unhideWhenUsed/>
    <w:rsid w:val="003256BA"/>
    <w:pPr>
      <w:tabs>
        <w:tab w:val="center" w:pos="4680"/>
        <w:tab w:val="right" w:pos="9360"/>
      </w:tabs>
    </w:pPr>
  </w:style>
  <w:style w:type="character" w:customStyle="1" w:styleId="FooterChar">
    <w:name w:val="Footer Char"/>
    <w:link w:val="Footer"/>
    <w:uiPriority w:val="99"/>
    <w:rsid w:val="003256BA"/>
    <w:rPr>
      <w:sz w:val="22"/>
      <w:szCs w:val="22"/>
    </w:rPr>
  </w:style>
  <w:style w:type="paragraph" w:styleId="ListParagraph">
    <w:name w:val="List Paragraph"/>
    <w:basedOn w:val="Normal"/>
    <w:uiPriority w:val="34"/>
    <w:qFormat/>
    <w:rsid w:val="00FD6879"/>
    <w:pPr>
      <w:ind w:left="720"/>
    </w:pPr>
  </w:style>
  <w:style w:type="character" w:customStyle="1" w:styleId="Heading1Char">
    <w:name w:val="Heading 1 Char"/>
    <w:link w:val="Heading1"/>
    <w:uiPriority w:val="9"/>
    <w:rsid w:val="00B12115"/>
    <w:rPr>
      <w:rFonts w:cs="Calibri"/>
      <w:b/>
      <w:sz w:val="28"/>
      <w:szCs w:val="28"/>
    </w:rPr>
  </w:style>
  <w:style w:type="character" w:customStyle="1" w:styleId="Heading2Char">
    <w:name w:val="Heading 2 Char"/>
    <w:link w:val="Heading2"/>
    <w:uiPriority w:val="9"/>
    <w:rsid w:val="00B12115"/>
    <w:rPr>
      <w:rFonts w:cs="Calibri"/>
      <w:b/>
      <w:sz w:val="24"/>
      <w:szCs w:val="22"/>
    </w:rPr>
  </w:style>
  <w:style w:type="paragraph" w:styleId="Caption">
    <w:name w:val="caption"/>
    <w:basedOn w:val="Normal"/>
    <w:next w:val="Normal"/>
    <w:uiPriority w:val="35"/>
    <w:unhideWhenUsed/>
    <w:qFormat/>
    <w:rsid w:val="00B121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29947">
      <w:bodyDiv w:val="1"/>
      <w:marLeft w:val="0"/>
      <w:marRight w:val="0"/>
      <w:marTop w:val="0"/>
      <w:marBottom w:val="0"/>
      <w:divBdr>
        <w:top w:val="none" w:sz="0" w:space="0" w:color="auto"/>
        <w:left w:val="none" w:sz="0" w:space="0" w:color="auto"/>
        <w:bottom w:val="none" w:sz="0" w:space="0" w:color="auto"/>
        <w:right w:val="none" w:sz="0" w:space="0" w:color="auto"/>
      </w:divBdr>
    </w:div>
    <w:div w:id="405961282">
      <w:bodyDiv w:val="1"/>
      <w:marLeft w:val="0"/>
      <w:marRight w:val="0"/>
      <w:marTop w:val="0"/>
      <w:marBottom w:val="0"/>
      <w:divBdr>
        <w:top w:val="none" w:sz="0" w:space="0" w:color="auto"/>
        <w:left w:val="none" w:sz="0" w:space="0" w:color="auto"/>
        <w:bottom w:val="none" w:sz="0" w:space="0" w:color="auto"/>
        <w:right w:val="none" w:sz="0" w:space="0" w:color="auto"/>
      </w:divBdr>
      <w:divsChild>
        <w:div w:id="230510732">
          <w:marLeft w:val="1636"/>
          <w:marRight w:val="0"/>
          <w:marTop w:val="0"/>
          <w:marBottom w:val="0"/>
          <w:divBdr>
            <w:top w:val="single" w:sz="24" w:space="0" w:color="6C9D30"/>
            <w:left w:val="single" w:sz="2" w:space="0" w:color="2E2E2E"/>
            <w:bottom w:val="single" w:sz="2" w:space="0" w:color="2E2E2E"/>
            <w:right w:val="single" w:sz="2" w:space="0" w:color="2E2E2E"/>
          </w:divBdr>
          <w:divsChild>
            <w:div w:id="1537691390">
              <w:marLeft w:val="0"/>
              <w:marRight w:val="0"/>
              <w:marTop w:val="19"/>
              <w:marBottom w:val="0"/>
              <w:divBdr>
                <w:top w:val="none" w:sz="0" w:space="0" w:color="auto"/>
                <w:left w:val="none" w:sz="0" w:space="0" w:color="auto"/>
                <w:bottom w:val="none" w:sz="0" w:space="0" w:color="auto"/>
                <w:right w:val="none" w:sz="0" w:space="0" w:color="auto"/>
              </w:divBdr>
              <w:divsChild>
                <w:div w:id="518353820">
                  <w:marLeft w:val="0"/>
                  <w:marRight w:val="0"/>
                  <w:marTop w:val="0"/>
                  <w:marBottom w:val="0"/>
                  <w:divBdr>
                    <w:top w:val="none" w:sz="0" w:space="0" w:color="auto"/>
                    <w:left w:val="none" w:sz="0" w:space="0" w:color="auto"/>
                    <w:bottom w:val="none" w:sz="0" w:space="0" w:color="auto"/>
                    <w:right w:val="none" w:sz="0" w:space="0" w:color="auto"/>
                  </w:divBdr>
                  <w:divsChild>
                    <w:div w:id="1243637494">
                      <w:marLeft w:val="0"/>
                      <w:marRight w:val="0"/>
                      <w:marTop w:val="0"/>
                      <w:marBottom w:val="0"/>
                      <w:divBdr>
                        <w:top w:val="none" w:sz="0" w:space="0" w:color="auto"/>
                        <w:left w:val="none" w:sz="0" w:space="0" w:color="auto"/>
                        <w:bottom w:val="none" w:sz="0" w:space="0" w:color="auto"/>
                        <w:right w:val="none" w:sz="0" w:space="0" w:color="auto"/>
                      </w:divBdr>
                      <w:divsChild>
                        <w:div w:id="2049798781">
                          <w:marLeft w:val="0"/>
                          <w:marRight w:val="0"/>
                          <w:marTop w:val="0"/>
                          <w:marBottom w:val="0"/>
                          <w:divBdr>
                            <w:top w:val="none" w:sz="0" w:space="0" w:color="auto"/>
                            <w:left w:val="none" w:sz="0" w:space="0" w:color="auto"/>
                            <w:bottom w:val="none" w:sz="0" w:space="0" w:color="auto"/>
                            <w:right w:val="none" w:sz="0" w:space="0" w:color="auto"/>
                          </w:divBdr>
                          <w:divsChild>
                            <w:div w:id="1333027465">
                              <w:marLeft w:val="0"/>
                              <w:marRight w:val="0"/>
                              <w:marTop w:val="0"/>
                              <w:marBottom w:val="0"/>
                              <w:divBdr>
                                <w:top w:val="none" w:sz="0" w:space="0" w:color="auto"/>
                                <w:left w:val="none" w:sz="0" w:space="0" w:color="auto"/>
                                <w:bottom w:val="none" w:sz="0" w:space="0" w:color="auto"/>
                                <w:right w:val="none" w:sz="0" w:space="0" w:color="auto"/>
                              </w:divBdr>
                            </w:div>
                            <w:div w:id="138001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611063">
      <w:bodyDiv w:val="1"/>
      <w:marLeft w:val="0"/>
      <w:marRight w:val="0"/>
      <w:marTop w:val="0"/>
      <w:marBottom w:val="0"/>
      <w:divBdr>
        <w:top w:val="none" w:sz="0" w:space="0" w:color="auto"/>
        <w:left w:val="none" w:sz="0" w:space="0" w:color="auto"/>
        <w:bottom w:val="none" w:sz="0" w:space="0" w:color="auto"/>
        <w:right w:val="none" w:sz="0" w:space="0" w:color="auto"/>
      </w:divBdr>
    </w:div>
    <w:div w:id="584345412">
      <w:bodyDiv w:val="1"/>
      <w:marLeft w:val="0"/>
      <w:marRight w:val="0"/>
      <w:marTop w:val="0"/>
      <w:marBottom w:val="0"/>
      <w:divBdr>
        <w:top w:val="none" w:sz="0" w:space="0" w:color="auto"/>
        <w:left w:val="none" w:sz="0" w:space="0" w:color="auto"/>
        <w:bottom w:val="none" w:sz="0" w:space="0" w:color="auto"/>
        <w:right w:val="none" w:sz="0" w:space="0" w:color="auto"/>
      </w:divBdr>
      <w:divsChild>
        <w:div w:id="19205215">
          <w:marLeft w:val="1636"/>
          <w:marRight w:val="0"/>
          <w:marTop w:val="0"/>
          <w:marBottom w:val="0"/>
          <w:divBdr>
            <w:top w:val="single" w:sz="24" w:space="0" w:color="6C9D30"/>
            <w:left w:val="single" w:sz="2" w:space="0" w:color="2E2E2E"/>
            <w:bottom w:val="single" w:sz="2" w:space="0" w:color="2E2E2E"/>
            <w:right w:val="single" w:sz="2" w:space="0" w:color="2E2E2E"/>
          </w:divBdr>
          <w:divsChild>
            <w:div w:id="1700623852">
              <w:marLeft w:val="0"/>
              <w:marRight w:val="0"/>
              <w:marTop w:val="19"/>
              <w:marBottom w:val="0"/>
              <w:divBdr>
                <w:top w:val="none" w:sz="0" w:space="0" w:color="auto"/>
                <w:left w:val="none" w:sz="0" w:space="0" w:color="auto"/>
                <w:bottom w:val="none" w:sz="0" w:space="0" w:color="auto"/>
                <w:right w:val="none" w:sz="0" w:space="0" w:color="auto"/>
              </w:divBdr>
              <w:divsChild>
                <w:div w:id="255750852">
                  <w:marLeft w:val="0"/>
                  <w:marRight w:val="0"/>
                  <w:marTop w:val="0"/>
                  <w:marBottom w:val="0"/>
                  <w:divBdr>
                    <w:top w:val="none" w:sz="0" w:space="0" w:color="auto"/>
                    <w:left w:val="none" w:sz="0" w:space="0" w:color="auto"/>
                    <w:bottom w:val="none" w:sz="0" w:space="0" w:color="auto"/>
                    <w:right w:val="none" w:sz="0" w:space="0" w:color="auto"/>
                  </w:divBdr>
                  <w:divsChild>
                    <w:div w:id="2000841916">
                      <w:marLeft w:val="0"/>
                      <w:marRight w:val="0"/>
                      <w:marTop w:val="0"/>
                      <w:marBottom w:val="0"/>
                      <w:divBdr>
                        <w:top w:val="none" w:sz="0" w:space="0" w:color="auto"/>
                        <w:left w:val="none" w:sz="0" w:space="0" w:color="auto"/>
                        <w:bottom w:val="none" w:sz="0" w:space="0" w:color="auto"/>
                        <w:right w:val="none" w:sz="0" w:space="0" w:color="auto"/>
                      </w:divBdr>
                      <w:divsChild>
                        <w:div w:id="669603679">
                          <w:marLeft w:val="0"/>
                          <w:marRight w:val="0"/>
                          <w:marTop w:val="0"/>
                          <w:marBottom w:val="0"/>
                          <w:divBdr>
                            <w:top w:val="none" w:sz="0" w:space="0" w:color="auto"/>
                            <w:left w:val="none" w:sz="0" w:space="0" w:color="auto"/>
                            <w:bottom w:val="none" w:sz="0" w:space="0" w:color="auto"/>
                            <w:right w:val="none" w:sz="0" w:space="0" w:color="auto"/>
                          </w:divBdr>
                          <w:divsChild>
                            <w:div w:id="62487438">
                              <w:marLeft w:val="0"/>
                              <w:marRight w:val="0"/>
                              <w:marTop w:val="0"/>
                              <w:marBottom w:val="0"/>
                              <w:divBdr>
                                <w:top w:val="none" w:sz="0" w:space="0" w:color="auto"/>
                                <w:left w:val="none" w:sz="0" w:space="0" w:color="auto"/>
                                <w:bottom w:val="none" w:sz="0" w:space="0" w:color="auto"/>
                                <w:right w:val="none" w:sz="0" w:space="0" w:color="auto"/>
                              </w:divBdr>
                            </w:div>
                            <w:div w:id="55555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814908">
      <w:bodyDiv w:val="1"/>
      <w:marLeft w:val="0"/>
      <w:marRight w:val="0"/>
      <w:marTop w:val="0"/>
      <w:marBottom w:val="0"/>
      <w:divBdr>
        <w:top w:val="none" w:sz="0" w:space="0" w:color="auto"/>
        <w:left w:val="none" w:sz="0" w:space="0" w:color="auto"/>
        <w:bottom w:val="none" w:sz="0" w:space="0" w:color="auto"/>
        <w:right w:val="none" w:sz="0" w:space="0" w:color="auto"/>
      </w:divBdr>
    </w:div>
    <w:div w:id="948580992">
      <w:bodyDiv w:val="1"/>
      <w:marLeft w:val="0"/>
      <w:marRight w:val="0"/>
      <w:marTop w:val="0"/>
      <w:marBottom w:val="0"/>
      <w:divBdr>
        <w:top w:val="none" w:sz="0" w:space="0" w:color="auto"/>
        <w:left w:val="none" w:sz="0" w:space="0" w:color="auto"/>
        <w:bottom w:val="none" w:sz="0" w:space="0" w:color="auto"/>
        <w:right w:val="none" w:sz="0" w:space="0" w:color="auto"/>
      </w:divBdr>
    </w:div>
    <w:div w:id="1208950437">
      <w:bodyDiv w:val="1"/>
      <w:marLeft w:val="0"/>
      <w:marRight w:val="0"/>
      <w:marTop w:val="0"/>
      <w:marBottom w:val="0"/>
      <w:divBdr>
        <w:top w:val="none" w:sz="0" w:space="0" w:color="auto"/>
        <w:left w:val="none" w:sz="0" w:space="0" w:color="auto"/>
        <w:bottom w:val="none" w:sz="0" w:space="0" w:color="auto"/>
        <w:right w:val="none" w:sz="0" w:space="0" w:color="auto"/>
      </w:divBdr>
    </w:div>
    <w:div w:id="1220242607">
      <w:bodyDiv w:val="1"/>
      <w:marLeft w:val="0"/>
      <w:marRight w:val="0"/>
      <w:marTop w:val="0"/>
      <w:marBottom w:val="0"/>
      <w:divBdr>
        <w:top w:val="none" w:sz="0" w:space="0" w:color="auto"/>
        <w:left w:val="none" w:sz="0" w:space="0" w:color="auto"/>
        <w:bottom w:val="none" w:sz="0" w:space="0" w:color="auto"/>
        <w:right w:val="none" w:sz="0" w:space="0" w:color="auto"/>
      </w:divBdr>
      <w:divsChild>
        <w:div w:id="306520565">
          <w:marLeft w:val="0"/>
          <w:marRight w:val="0"/>
          <w:marTop w:val="0"/>
          <w:marBottom w:val="0"/>
          <w:divBdr>
            <w:top w:val="none" w:sz="0" w:space="0" w:color="auto"/>
            <w:left w:val="none" w:sz="0" w:space="0" w:color="auto"/>
            <w:bottom w:val="none" w:sz="0" w:space="0" w:color="auto"/>
            <w:right w:val="none" w:sz="0" w:space="0" w:color="auto"/>
          </w:divBdr>
        </w:div>
      </w:divsChild>
    </w:div>
    <w:div w:id="1430852282">
      <w:bodyDiv w:val="1"/>
      <w:marLeft w:val="0"/>
      <w:marRight w:val="0"/>
      <w:marTop w:val="0"/>
      <w:marBottom w:val="0"/>
      <w:divBdr>
        <w:top w:val="none" w:sz="0" w:space="0" w:color="auto"/>
        <w:left w:val="none" w:sz="0" w:space="0" w:color="auto"/>
        <w:bottom w:val="none" w:sz="0" w:space="0" w:color="auto"/>
        <w:right w:val="none" w:sz="0" w:space="0" w:color="auto"/>
      </w:divBdr>
      <w:divsChild>
        <w:div w:id="945304658">
          <w:marLeft w:val="0"/>
          <w:marRight w:val="0"/>
          <w:marTop w:val="0"/>
          <w:marBottom w:val="0"/>
          <w:divBdr>
            <w:top w:val="none" w:sz="0" w:space="0" w:color="auto"/>
            <w:left w:val="none" w:sz="0" w:space="0" w:color="auto"/>
            <w:bottom w:val="none" w:sz="0" w:space="0" w:color="auto"/>
            <w:right w:val="none" w:sz="0" w:space="0" w:color="auto"/>
          </w:divBdr>
          <w:divsChild>
            <w:div w:id="1005323763">
              <w:marLeft w:val="0"/>
              <w:marRight w:val="0"/>
              <w:marTop w:val="0"/>
              <w:marBottom w:val="0"/>
              <w:divBdr>
                <w:top w:val="none" w:sz="0" w:space="0" w:color="auto"/>
                <w:left w:val="none" w:sz="0" w:space="0" w:color="auto"/>
                <w:bottom w:val="none" w:sz="0" w:space="0" w:color="auto"/>
                <w:right w:val="none" w:sz="0" w:space="0" w:color="auto"/>
              </w:divBdr>
              <w:divsChild>
                <w:div w:id="1912541176">
                  <w:marLeft w:val="0"/>
                  <w:marRight w:val="0"/>
                  <w:marTop w:val="0"/>
                  <w:marBottom w:val="374"/>
                  <w:divBdr>
                    <w:top w:val="none" w:sz="0" w:space="0" w:color="auto"/>
                    <w:left w:val="none" w:sz="0" w:space="0" w:color="auto"/>
                    <w:bottom w:val="single" w:sz="8" w:space="0" w:color="E0E0E0"/>
                    <w:right w:val="none" w:sz="0" w:space="0" w:color="auto"/>
                  </w:divBdr>
                  <w:divsChild>
                    <w:div w:id="1697266144">
                      <w:marLeft w:val="0"/>
                      <w:marRight w:val="0"/>
                      <w:marTop w:val="0"/>
                      <w:marBottom w:val="0"/>
                      <w:divBdr>
                        <w:top w:val="none" w:sz="0" w:space="0" w:color="auto"/>
                        <w:left w:val="none" w:sz="0" w:space="0" w:color="auto"/>
                        <w:bottom w:val="none" w:sz="0" w:space="0" w:color="auto"/>
                        <w:right w:val="none" w:sz="0" w:space="0" w:color="auto"/>
                      </w:divBdr>
                      <w:divsChild>
                        <w:div w:id="255789433">
                          <w:marLeft w:val="0"/>
                          <w:marRight w:val="0"/>
                          <w:marTop w:val="0"/>
                          <w:marBottom w:val="374"/>
                          <w:divBdr>
                            <w:top w:val="none" w:sz="0" w:space="0" w:color="auto"/>
                            <w:left w:val="none" w:sz="0" w:space="0" w:color="auto"/>
                            <w:bottom w:val="single" w:sz="12" w:space="0" w:color="EBEBEB"/>
                            <w:right w:val="none" w:sz="0" w:space="0" w:color="auto"/>
                          </w:divBdr>
                          <w:divsChild>
                            <w:div w:id="167163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259446">
      <w:bodyDiv w:val="1"/>
      <w:marLeft w:val="0"/>
      <w:marRight w:val="0"/>
      <w:marTop w:val="0"/>
      <w:marBottom w:val="0"/>
      <w:divBdr>
        <w:top w:val="none" w:sz="0" w:space="0" w:color="auto"/>
        <w:left w:val="none" w:sz="0" w:space="0" w:color="auto"/>
        <w:bottom w:val="none" w:sz="0" w:space="0" w:color="auto"/>
        <w:right w:val="none" w:sz="0" w:space="0" w:color="auto"/>
      </w:divBdr>
    </w:div>
    <w:div w:id="1557888155">
      <w:bodyDiv w:val="1"/>
      <w:marLeft w:val="0"/>
      <w:marRight w:val="0"/>
      <w:marTop w:val="0"/>
      <w:marBottom w:val="0"/>
      <w:divBdr>
        <w:top w:val="none" w:sz="0" w:space="0" w:color="auto"/>
        <w:left w:val="none" w:sz="0" w:space="0" w:color="auto"/>
        <w:bottom w:val="none" w:sz="0" w:space="0" w:color="auto"/>
        <w:right w:val="none" w:sz="0" w:space="0" w:color="auto"/>
      </w:divBdr>
      <w:divsChild>
        <w:div w:id="1954940304">
          <w:marLeft w:val="0"/>
          <w:marRight w:val="0"/>
          <w:marTop w:val="0"/>
          <w:marBottom w:val="0"/>
          <w:divBdr>
            <w:top w:val="none" w:sz="0" w:space="0" w:color="auto"/>
            <w:left w:val="none" w:sz="0" w:space="0" w:color="auto"/>
            <w:bottom w:val="none" w:sz="0" w:space="0" w:color="auto"/>
            <w:right w:val="none" w:sz="0" w:space="0" w:color="auto"/>
          </w:divBdr>
        </w:div>
      </w:divsChild>
    </w:div>
    <w:div w:id="1606690529">
      <w:bodyDiv w:val="1"/>
      <w:marLeft w:val="0"/>
      <w:marRight w:val="0"/>
      <w:marTop w:val="0"/>
      <w:marBottom w:val="0"/>
      <w:divBdr>
        <w:top w:val="none" w:sz="0" w:space="0" w:color="auto"/>
        <w:left w:val="none" w:sz="0" w:space="0" w:color="auto"/>
        <w:bottom w:val="none" w:sz="0" w:space="0" w:color="auto"/>
        <w:right w:val="none" w:sz="0" w:space="0" w:color="auto"/>
      </w:divBdr>
      <w:divsChild>
        <w:div w:id="1209368481">
          <w:marLeft w:val="1636"/>
          <w:marRight w:val="0"/>
          <w:marTop w:val="0"/>
          <w:marBottom w:val="0"/>
          <w:divBdr>
            <w:top w:val="single" w:sz="24" w:space="0" w:color="6C9D30"/>
            <w:left w:val="single" w:sz="2" w:space="0" w:color="2E2E2E"/>
            <w:bottom w:val="single" w:sz="2" w:space="0" w:color="2E2E2E"/>
            <w:right w:val="single" w:sz="2" w:space="0" w:color="2E2E2E"/>
          </w:divBdr>
          <w:divsChild>
            <w:div w:id="1454053736">
              <w:marLeft w:val="0"/>
              <w:marRight w:val="0"/>
              <w:marTop w:val="19"/>
              <w:marBottom w:val="0"/>
              <w:divBdr>
                <w:top w:val="none" w:sz="0" w:space="0" w:color="auto"/>
                <w:left w:val="none" w:sz="0" w:space="0" w:color="auto"/>
                <w:bottom w:val="none" w:sz="0" w:space="0" w:color="auto"/>
                <w:right w:val="none" w:sz="0" w:space="0" w:color="auto"/>
              </w:divBdr>
              <w:divsChild>
                <w:div w:id="1411271904">
                  <w:marLeft w:val="0"/>
                  <w:marRight w:val="0"/>
                  <w:marTop w:val="0"/>
                  <w:marBottom w:val="0"/>
                  <w:divBdr>
                    <w:top w:val="none" w:sz="0" w:space="0" w:color="auto"/>
                    <w:left w:val="none" w:sz="0" w:space="0" w:color="auto"/>
                    <w:bottom w:val="none" w:sz="0" w:space="0" w:color="auto"/>
                    <w:right w:val="none" w:sz="0" w:space="0" w:color="auto"/>
                  </w:divBdr>
                  <w:divsChild>
                    <w:div w:id="1667242411">
                      <w:marLeft w:val="0"/>
                      <w:marRight w:val="0"/>
                      <w:marTop w:val="0"/>
                      <w:marBottom w:val="0"/>
                      <w:divBdr>
                        <w:top w:val="none" w:sz="0" w:space="0" w:color="auto"/>
                        <w:left w:val="none" w:sz="0" w:space="0" w:color="auto"/>
                        <w:bottom w:val="none" w:sz="0" w:space="0" w:color="auto"/>
                        <w:right w:val="none" w:sz="0" w:space="0" w:color="auto"/>
                      </w:divBdr>
                      <w:divsChild>
                        <w:div w:id="12923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170911">
      <w:bodyDiv w:val="1"/>
      <w:marLeft w:val="0"/>
      <w:marRight w:val="0"/>
      <w:marTop w:val="0"/>
      <w:marBottom w:val="0"/>
      <w:divBdr>
        <w:top w:val="none" w:sz="0" w:space="0" w:color="auto"/>
        <w:left w:val="none" w:sz="0" w:space="0" w:color="auto"/>
        <w:bottom w:val="none" w:sz="0" w:space="0" w:color="auto"/>
        <w:right w:val="none" w:sz="0" w:space="0" w:color="auto"/>
      </w:divBdr>
    </w:div>
    <w:div w:id="1688864829">
      <w:bodyDiv w:val="1"/>
      <w:marLeft w:val="0"/>
      <w:marRight w:val="0"/>
      <w:marTop w:val="0"/>
      <w:marBottom w:val="0"/>
      <w:divBdr>
        <w:top w:val="none" w:sz="0" w:space="0" w:color="auto"/>
        <w:left w:val="none" w:sz="0" w:space="0" w:color="auto"/>
        <w:bottom w:val="none" w:sz="0" w:space="0" w:color="auto"/>
        <w:right w:val="none" w:sz="0" w:space="0" w:color="auto"/>
      </w:divBdr>
    </w:div>
    <w:div w:id="1735008433">
      <w:bodyDiv w:val="1"/>
      <w:marLeft w:val="0"/>
      <w:marRight w:val="0"/>
      <w:marTop w:val="0"/>
      <w:marBottom w:val="0"/>
      <w:divBdr>
        <w:top w:val="none" w:sz="0" w:space="0" w:color="auto"/>
        <w:left w:val="none" w:sz="0" w:space="0" w:color="auto"/>
        <w:bottom w:val="none" w:sz="0" w:space="0" w:color="auto"/>
        <w:right w:val="none" w:sz="0" w:space="0" w:color="auto"/>
      </w:divBdr>
    </w:div>
    <w:div w:id="1806003851">
      <w:bodyDiv w:val="1"/>
      <w:marLeft w:val="0"/>
      <w:marRight w:val="0"/>
      <w:marTop w:val="0"/>
      <w:marBottom w:val="0"/>
      <w:divBdr>
        <w:top w:val="none" w:sz="0" w:space="0" w:color="auto"/>
        <w:left w:val="none" w:sz="0" w:space="0" w:color="auto"/>
        <w:bottom w:val="none" w:sz="0" w:space="0" w:color="auto"/>
        <w:right w:val="none" w:sz="0" w:space="0" w:color="auto"/>
      </w:divBdr>
      <w:divsChild>
        <w:div w:id="972173748">
          <w:marLeft w:val="0"/>
          <w:marRight w:val="0"/>
          <w:marTop w:val="0"/>
          <w:marBottom w:val="0"/>
          <w:divBdr>
            <w:top w:val="none" w:sz="0" w:space="0" w:color="auto"/>
            <w:left w:val="none" w:sz="0" w:space="0" w:color="auto"/>
            <w:bottom w:val="none" w:sz="0" w:space="0" w:color="auto"/>
            <w:right w:val="none" w:sz="0" w:space="0" w:color="auto"/>
          </w:divBdr>
          <w:divsChild>
            <w:div w:id="409163093">
              <w:marLeft w:val="0"/>
              <w:marRight w:val="0"/>
              <w:marTop w:val="0"/>
              <w:marBottom w:val="0"/>
              <w:divBdr>
                <w:top w:val="none" w:sz="0" w:space="0" w:color="auto"/>
                <w:left w:val="none" w:sz="0" w:space="0" w:color="auto"/>
                <w:bottom w:val="none" w:sz="0" w:space="0" w:color="auto"/>
                <w:right w:val="none" w:sz="0" w:space="0" w:color="auto"/>
              </w:divBdr>
              <w:divsChild>
                <w:div w:id="126510428">
                  <w:marLeft w:val="0"/>
                  <w:marRight w:val="0"/>
                  <w:marTop w:val="0"/>
                  <w:marBottom w:val="0"/>
                  <w:divBdr>
                    <w:top w:val="none" w:sz="0" w:space="0" w:color="auto"/>
                    <w:left w:val="none" w:sz="0" w:space="0" w:color="auto"/>
                    <w:bottom w:val="none" w:sz="0" w:space="0" w:color="auto"/>
                    <w:right w:val="none" w:sz="0" w:space="0" w:color="auto"/>
                  </w:divBdr>
                  <w:divsChild>
                    <w:div w:id="68045753">
                      <w:marLeft w:val="0"/>
                      <w:marRight w:val="0"/>
                      <w:marTop w:val="0"/>
                      <w:marBottom w:val="0"/>
                      <w:divBdr>
                        <w:top w:val="none" w:sz="0" w:space="0" w:color="auto"/>
                        <w:left w:val="none" w:sz="0" w:space="0" w:color="auto"/>
                        <w:bottom w:val="none" w:sz="0" w:space="0" w:color="auto"/>
                        <w:right w:val="none" w:sz="0" w:space="0" w:color="auto"/>
                      </w:divBdr>
                      <w:divsChild>
                        <w:div w:id="1405032129">
                          <w:marLeft w:val="0"/>
                          <w:marRight w:val="0"/>
                          <w:marTop w:val="0"/>
                          <w:marBottom w:val="0"/>
                          <w:divBdr>
                            <w:top w:val="none" w:sz="0" w:space="0" w:color="auto"/>
                            <w:left w:val="none" w:sz="0" w:space="0" w:color="auto"/>
                            <w:bottom w:val="none" w:sz="0" w:space="0" w:color="auto"/>
                            <w:right w:val="none" w:sz="0" w:space="0" w:color="auto"/>
                          </w:divBdr>
                          <w:divsChild>
                            <w:div w:id="6103341">
                              <w:marLeft w:val="0"/>
                              <w:marRight w:val="0"/>
                              <w:marTop w:val="0"/>
                              <w:marBottom w:val="0"/>
                              <w:divBdr>
                                <w:top w:val="none" w:sz="0" w:space="0" w:color="auto"/>
                                <w:left w:val="none" w:sz="0" w:space="0" w:color="auto"/>
                                <w:bottom w:val="none" w:sz="0" w:space="0" w:color="auto"/>
                                <w:right w:val="none" w:sz="0" w:space="0" w:color="auto"/>
                              </w:divBdr>
                              <w:divsChild>
                                <w:div w:id="2127849382">
                                  <w:marLeft w:val="0"/>
                                  <w:marRight w:val="0"/>
                                  <w:marTop w:val="0"/>
                                  <w:marBottom w:val="0"/>
                                  <w:divBdr>
                                    <w:top w:val="none" w:sz="0" w:space="0" w:color="auto"/>
                                    <w:left w:val="none" w:sz="0" w:space="0" w:color="auto"/>
                                    <w:bottom w:val="none" w:sz="0" w:space="0" w:color="auto"/>
                                    <w:right w:val="none" w:sz="0" w:space="0" w:color="auto"/>
                                  </w:divBdr>
                                  <w:divsChild>
                                    <w:div w:id="1664818441">
                                      <w:marLeft w:val="0"/>
                                      <w:marRight w:val="0"/>
                                      <w:marTop w:val="0"/>
                                      <w:marBottom w:val="0"/>
                                      <w:divBdr>
                                        <w:top w:val="none" w:sz="0" w:space="0" w:color="auto"/>
                                        <w:left w:val="none" w:sz="0" w:space="0" w:color="auto"/>
                                        <w:bottom w:val="none" w:sz="0" w:space="0" w:color="auto"/>
                                        <w:right w:val="none" w:sz="0" w:space="0" w:color="auto"/>
                                      </w:divBdr>
                                      <w:divsChild>
                                        <w:div w:id="1457677131">
                                          <w:marLeft w:val="0"/>
                                          <w:marRight w:val="0"/>
                                          <w:marTop w:val="0"/>
                                          <w:marBottom w:val="0"/>
                                          <w:divBdr>
                                            <w:top w:val="none" w:sz="0" w:space="0" w:color="auto"/>
                                            <w:left w:val="none" w:sz="0" w:space="0" w:color="auto"/>
                                            <w:bottom w:val="none" w:sz="0" w:space="0" w:color="auto"/>
                                            <w:right w:val="none" w:sz="0" w:space="0" w:color="auto"/>
                                          </w:divBdr>
                                          <w:divsChild>
                                            <w:div w:id="147818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989199">
      <w:bodyDiv w:val="1"/>
      <w:marLeft w:val="0"/>
      <w:marRight w:val="0"/>
      <w:marTop w:val="0"/>
      <w:marBottom w:val="0"/>
      <w:divBdr>
        <w:top w:val="none" w:sz="0" w:space="0" w:color="auto"/>
        <w:left w:val="none" w:sz="0" w:space="0" w:color="auto"/>
        <w:bottom w:val="none" w:sz="0" w:space="0" w:color="auto"/>
        <w:right w:val="none" w:sz="0" w:space="0" w:color="auto"/>
      </w:divBdr>
      <w:divsChild>
        <w:div w:id="405343386">
          <w:marLeft w:val="0"/>
          <w:marRight w:val="0"/>
          <w:marTop w:val="0"/>
          <w:marBottom w:val="0"/>
          <w:divBdr>
            <w:top w:val="none" w:sz="0" w:space="0" w:color="auto"/>
            <w:left w:val="none" w:sz="0" w:space="0" w:color="auto"/>
            <w:bottom w:val="none" w:sz="0" w:space="0" w:color="auto"/>
            <w:right w:val="none" w:sz="0" w:space="0" w:color="auto"/>
          </w:divBdr>
          <w:divsChild>
            <w:div w:id="1899895383">
              <w:marLeft w:val="0"/>
              <w:marRight w:val="0"/>
              <w:marTop w:val="0"/>
              <w:marBottom w:val="0"/>
              <w:divBdr>
                <w:top w:val="none" w:sz="0" w:space="0" w:color="auto"/>
                <w:left w:val="none" w:sz="0" w:space="0" w:color="auto"/>
                <w:bottom w:val="none" w:sz="0" w:space="0" w:color="auto"/>
                <w:right w:val="none" w:sz="0" w:space="0" w:color="auto"/>
              </w:divBdr>
              <w:divsChild>
                <w:div w:id="1683431346">
                  <w:marLeft w:val="0"/>
                  <w:marRight w:val="0"/>
                  <w:marTop w:val="0"/>
                  <w:marBottom w:val="0"/>
                  <w:divBdr>
                    <w:top w:val="none" w:sz="0" w:space="0" w:color="auto"/>
                    <w:left w:val="none" w:sz="0" w:space="0" w:color="auto"/>
                    <w:bottom w:val="none" w:sz="0" w:space="0" w:color="auto"/>
                    <w:right w:val="none" w:sz="0" w:space="0" w:color="auto"/>
                  </w:divBdr>
                  <w:divsChild>
                    <w:div w:id="708385393">
                      <w:marLeft w:val="0"/>
                      <w:marRight w:val="0"/>
                      <w:marTop w:val="75"/>
                      <w:marBottom w:val="150"/>
                      <w:divBdr>
                        <w:top w:val="none" w:sz="0" w:space="0" w:color="auto"/>
                        <w:left w:val="none" w:sz="0" w:space="0" w:color="auto"/>
                        <w:bottom w:val="none" w:sz="0" w:space="0" w:color="auto"/>
                        <w:right w:val="none" w:sz="0" w:space="0" w:color="auto"/>
                      </w:divBdr>
                      <w:divsChild>
                        <w:div w:id="1945919749">
                          <w:marLeft w:val="0"/>
                          <w:marRight w:val="0"/>
                          <w:marTop w:val="0"/>
                          <w:marBottom w:val="0"/>
                          <w:divBdr>
                            <w:top w:val="single" w:sz="2" w:space="0" w:color="CCCCCC"/>
                            <w:left w:val="single" w:sz="2" w:space="0" w:color="CCCCCC"/>
                            <w:bottom w:val="single" w:sz="2" w:space="0" w:color="CCCCCC"/>
                            <w:right w:val="single" w:sz="2" w:space="0" w:color="CCCCCC"/>
                          </w:divBdr>
                          <w:divsChild>
                            <w:div w:id="464081438">
                              <w:marLeft w:val="0"/>
                              <w:marRight w:val="0"/>
                              <w:marTop w:val="0"/>
                              <w:marBottom w:val="0"/>
                              <w:divBdr>
                                <w:top w:val="none" w:sz="0" w:space="0" w:color="auto"/>
                                <w:left w:val="none" w:sz="0" w:space="0" w:color="auto"/>
                                <w:bottom w:val="none" w:sz="0" w:space="0" w:color="auto"/>
                                <w:right w:val="none" w:sz="0" w:space="0" w:color="auto"/>
                              </w:divBdr>
                              <w:divsChild>
                                <w:div w:id="477116053">
                                  <w:marLeft w:val="0"/>
                                  <w:marRight w:val="0"/>
                                  <w:marTop w:val="0"/>
                                  <w:marBottom w:val="0"/>
                                  <w:divBdr>
                                    <w:top w:val="none" w:sz="0" w:space="0" w:color="auto"/>
                                    <w:left w:val="none" w:sz="0" w:space="0" w:color="auto"/>
                                    <w:bottom w:val="none" w:sz="0" w:space="0" w:color="auto"/>
                                    <w:right w:val="none" w:sz="0" w:space="0" w:color="auto"/>
                                  </w:divBdr>
                                  <w:divsChild>
                                    <w:div w:id="164011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ahsri.uow.edu.au/ahoc/documents/sf12review.pdf" TargetMode="External"/><Relationship Id="rId4" Type="http://schemas.openxmlformats.org/officeDocument/2006/relationships/webSettings" Target="webSettings.xml"/><Relationship Id="rId9" Type="http://schemas.openxmlformats.org/officeDocument/2006/relationships/hyperlink" Target="http://www.tbims.org/combi/mp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2506</Words>
  <Characters>14286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Altarum Institute</Company>
  <LinksUpToDate>false</LinksUpToDate>
  <CharactersWithSpaces>16759</CharactersWithSpaces>
  <SharedDoc>false</SharedDoc>
  <HLinks>
    <vt:vector size="12" baseType="variant">
      <vt:variant>
        <vt:i4>1638425</vt:i4>
      </vt:variant>
      <vt:variant>
        <vt:i4>3</vt:i4>
      </vt:variant>
      <vt:variant>
        <vt:i4>0</vt:i4>
      </vt:variant>
      <vt:variant>
        <vt:i4>5</vt:i4>
      </vt:variant>
      <vt:variant>
        <vt:lpwstr>http://ahsri.uow.edu.au/ahoc/documents/sf12review.pdf</vt:lpwstr>
      </vt:variant>
      <vt:variant>
        <vt:lpwstr/>
      </vt:variant>
      <vt:variant>
        <vt:i4>2490494</vt:i4>
      </vt:variant>
      <vt:variant>
        <vt:i4>0</vt:i4>
      </vt:variant>
      <vt:variant>
        <vt:i4>0</vt:i4>
      </vt:variant>
      <vt:variant>
        <vt:i4>5</vt:i4>
      </vt:variant>
      <vt:variant>
        <vt:lpwstr>http://www.tbims.org/combi/mpai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Traumatic Brain Injury Common Data Element Recommendations for Global Outcome</dc:title>
  <dc:subject>Guideline Document</dc:subject>
  <dc:creator>NINDS</dc:creator>
  <cp:keywords>NINDS, Guideline Document, Traumatic Brain Injury Common Data Element  </cp:keywords>
  <cp:lastModifiedBy>Andy Franklin</cp:lastModifiedBy>
  <cp:revision>3</cp:revision>
  <dcterms:created xsi:type="dcterms:W3CDTF">2014-05-19T14:03:00Z</dcterms:created>
  <dcterms:modified xsi:type="dcterms:W3CDTF">2014-05-19T14:04:00Z</dcterms:modified>
  <cp:category>Guideline Document</cp:category>
  <cp:contentStatus>508 Compliant</cp:contentStatus>
</cp:coreProperties>
</file>