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F36" w:rsidRPr="00A133F4" w:rsidRDefault="007D6F36" w:rsidP="00A133F4">
      <w:pPr>
        <w:pStyle w:val="Heading2"/>
      </w:pPr>
      <w:r w:rsidRPr="00A133F4">
        <w:t xml:space="preserve">Outcome Domain: </w:t>
      </w:r>
    </w:p>
    <w:p w:rsidR="007D6F36" w:rsidRPr="005463F4" w:rsidRDefault="00D9505F" w:rsidP="007D6F36">
      <w:pPr>
        <w:rPr>
          <w:rFonts w:cs="Calibri"/>
        </w:rPr>
      </w:pPr>
      <w:r>
        <w:rPr>
          <w:rFonts w:cs="Calibri"/>
        </w:rPr>
        <w:t>Social Cognition</w:t>
      </w:r>
    </w:p>
    <w:p w:rsidR="007D6F36" w:rsidRPr="006D07FA" w:rsidRDefault="007D6F36" w:rsidP="00A133F4">
      <w:pPr>
        <w:pStyle w:val="Heading2"/>
      </w:pPr>
      <w:r w:rsidRPr="006D07FA">
        <w:t xml:space="preserve">Domain Description and Relevance in TBI: </w:t>
      </w:r>
    </w:p>
    <w:p w:rsidR="007D6F36" w:rsidRPr="00EA5A33" w:rsidRDefault="007D6F36" w:rsidP="00D9505F">
      <w:pPr>
        <w:rPr>
          <w:rFonts w:cs="Calibri"/>
        </w:rPr>
      </w:pPr>
      <w:r>
        <w:rPr>
          <w:rFonts w:cs="Calibri"/>
        </w:rPr>
        <w:t>“</w:t>
      </w:r>
      <w:r w:rsidR="00D9505F" w:rsidRPr="00D9505F">
        <w:rPr>
          <w:rFonts w:cs="Calibri"/>
        </w:rPr>
        <w:t xml:space="preserve">Social cognition refers to the cognitive processes </w:t>
      </w:r>
      <w:r w:rsidR="00D9505F">
        <w:rPr>
          <w:rFonts w:cs="Calibri"/>
        </w:rPr>
        <w:t xml:space="preserve">necessary for successful social </w:t>
      </w:r>
      <w:r w:rsidR="00D9505F" w:rsidRPr="00D9505F">
        <w:rPr>
          <w:rFonts w:cs="Calibri"/>
        </w:rPr>
        <w:t>interaction. A growing body of literature has documented impairments in</w:t>
      </w:r>
      <w:r w:rsidR="00D9505F">
        <w:rPr>
          <w:rFonts w:cs="Calibri"/>
        </w:rPr>
        <w:t xml:space="preserve"> </w:t>
      </w:r>
      <w:r w:rsidR="00D9505F" w:rsidRPr="00D9505F">
        <w:rPr>
          <w:rFonts w:cs="Calibri"/>
        </w:rPr>
        <w:t>this domain after TBI, in some cases independent of other cognitive</w:t>
      </w:r>
      <w:r w:rsidR="00D9505F">
        <w:rPr>
          <w:rFonts w:cs="Calibri"/>
        </w:rPr>
        <w:t xml:space="preserve"> </w:t>
      </w:r>
      <w:r w:rsidR="00D9505F" w:rsidRPr="00D9505F">
        <w:rPr>
          <w:rFonts w:cs="Calibri"/>
        </w:rPr>
        <w:t>impairments.</w:t>
      </w:r>
      <w:r>
        <w:rPr>
          <w:rFonts w:cs="Calibri"/>
        </w:rPr>
        <w:t>” – McCauley et al. 2012</w:t>
      </w:r>
    </w:p>
    <w:p w:rsidR="00A133F4" w:rsidRDefault="00A133F4" w:rsidP="00A133F4">
      <w:pPr>
        <w:pStyle w:val="Caption"/>
        <w:keepNext/>
      </w:pPr>
      <w:r>
        <w:t xml:space="preserve">Table </w:t>
      </w:r>
      <w:fldSimple w:instr=" SEQ Table \* ARABIC ">
        <w:r>
          <w:rPr>
            <w:noProof/>
          </w:rPr>
          <w:t>1</w:t>
        </w:r>
      </w:fldSimple>
      <w:r>
        <w:t xml:space="preserve"> </w:t>
      </w:r>
      <w:r w:rsidRPr="00902736">
        <w:t>CDE Classification by Type of TBI Study and Relevant Population for Recommended Social Cognition Outcome Measures</w:t>
      </w:r>
    </w:p>
    <w:tbl>
      <w:tblPr>
        <w:tblW w:w="9180" w:type="dxa"/>
        <w:tblInd w:w="108" w:type="dxa"/>
        <w:tblLayout w:type="fixed"/>
        <w:tblLook w:val="04A0" w:firstRow="1" w:lastRow="0" w:firstColumn="1" w:lastColumn="0" w:noHBand="0" w:noVBand="1"/>
      </w:tblPr>
      <w:tblGrid>
        <w:gridCol w:w="1890"/>
        <w:gridCol w:w="1170"/>
        <w:gridCol w:w="1530"/>
        <w:gridCol w:w="1530"/>
        <w:gridCol w:w="1530"/>
        <w:gridCol w:w="1530"/>
      </w:tblGrid>
      <w:tr w:rsidR="007D6F36" w:rsidRPr="005463F4" w:rsidTr="00A133F4">
        <w:trPr>
          <w:cantSplit/>
          <w:trHeight w:val="600"/>
          <w:tblHeader/>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7D6F36" w:rsidRPr="00A133F4" w:rsidRDefault="007D6F36" w:rsidP="002F1040">
            <w:pPr>
              <w:spacing w:after="0" w:line="240" w:lineRule="auto"/>
              <w:jc w:val="center"/>
              <w:rPr>
                <w:rFonts w:eastAsia="Times New Roman" w:cs="Calibri"/>
                <w:bCs/>
                <w:sz w:val="20"/>
                <w:szCs w:val="20"/>
              </w:rPr>
            </w:pPr>
            <w:r w:rsidRPr="00A133F4">
              <w:rPr>
                <w:rFonts w:eastAsia="Times New Roman" w:cs="Calibri"/>
                <w:bCs/>
                <w:sz w:val="20"/>
                <w:szCs w:val="20"/>
              </w:rPr>
              <w:t>Outcome Measure Name</w:t>
            </w:r>
          </w:p>
        </w:tc>
        <w:tc>
          <w:tcPr>
            <w:tcW w:w="1170" w:type="dxa"/>
            <w:tcBorders>
              <w:top w:val="single" w:sz="4" w:space="0" w:color="auto"/>
              <w:left w:val="nil"/>
              <w:bottom w:val="single" w:sz="4" w:space="0" w:color="auto"/>
              <w:right w:val="single" w:sz="4" w:space="0" w:color="auto"/>
            </w:tcBorders>
            <w:shd w:val="clear" w:color="000000" w:fill="FFFFFF"/>
            <w:hideMark/>
          </w:tcPr>
          <w:p w:rsidR="007D6F36" w:rsidRPr="00A133F4" w:rsidRDefault="007D6F36" w:rsidP="002F1040">
            <w:pPr>
              <w:spacing w:after="0" w:line="240" w:lineRule="auto"/>
              <w:jc w:val="center"/>
              <w:rPr>
                <w:rFonts w:eastAsia="Times New Roman" w:cs="Calibri"/>
                <w:bCs/>
                <w:sz w:val="20"/>
                <w:szCs w:val="20"/>
              </w:rPr>
            </w:pPr>
            <w:r w:rsidRPr="00A133F4">
              <w:rPr>
                <w:rFonts w:eastAsia="Times New Roman" w:cs="Calibri"/>
                <w:bCs/>
                <w:sz w:val="20"/>
                <w:szCs w:val="20"/>
              </w:rPr>
              <w:t>Relevant TBI Population</w:t>
            </w:r>
          </w:p>
        </w:tc>
        <w:tc>
          <w:tcPr>
            <w:tcW w:w="1530" w:type="dxa"/>
            <w:tcBorders>
              <w:top w:val="single" w:sz="4" w:space="0" w:color="auto"/>
              <w:left w:val="nil"/>
              <w:bottom w:val="single" w:sz="4" w:space="0" w:color="auto"/>
              <w:right w:val="single" w:sz="4" w:space="0" w:color="auto"/>
            </w:tcBorders>
            <w:shd w:val="clear" w:color="000000" w:fill="FFFFFF"/>
            <w:hideMark/>
          </w:tcPr>
          <w:p w:rsidR="007D6F36" w:rsidRPr="00A133F4" w:rsidRDefault="007D6F36" w:rsidP="002F1040">
            <w:pPr>
              <w:spacing w:after="0" w:line="240" w:lineRule="auto"/>
              <w:jc w:val="center"/>
              <w:rPr>
                <w:rFonts w:eastAsia="Times New Roman" w:cs="Calibri"/>
                <w:bCs/>
                <w:sz w:val="20"/>
                <w:szCs w:val="20"/>
              </w:rPr>
            </w:pPr>
            <w:r w:rsidRPr="00A133F4">
              <w:rPr>
                <w:rFonts w:eastAsia="Times New Roman" w:cs="Calibri"/>
                <w:bCs/>
                <w:sz w:val="20"/>
                <w:szCs w:val="20"/>
              </w:rPr>
              <w:t>Acute Hospitalized</w:t>
            </w:r>
          </w:p>
        </w:tc>
        <w:tc>
          <w:tcPr>
            <w:tcW w:w="1530" w:type="dxa"/>
            <w:tcBorders>
              <w:top w:val="single" w:sz="4" w:space="0" w:color="auto"/>
              <w:left w:val="nil"/>
              <w:bottom w:val="single" w:sz="4" w:space="0" w:color="auto"/>
              <w:right w:val="single" w:sz="4" w:space="0" w:color="auto"/>
            </w:tcBorders>
            <w:shd w:val="clear" w:color="000000" w:fill="FFFFFF"/>
            <w:hideMark/>
          </w:tcPr>
          <w:p w:rsidR="007D6F36" w:rsidRPr="00A133F4" w:rsidRDefault="007D6F36" w:rsidP="002F1040">
            <w:pPr>
              <w:spacing w:after="0" w:line="240" w:lineRule="auto"/>
              <w:jc w:val="center"/>
              <w:rPr>
                <w:rFonts w:eastAsia="Times New Roman" w:cs="Calibri"/>
                <w:bCs/>
                <w:sz w:val="20"/>
                <w:szCs w:val="20"/>
              </w:rPr>
            </w:pPr>
            <w:r w:rsidRPr="00A133F4">
              <w:rPr>
                <w:rFonts w:eastAsia="Times New Roman" w:cs="Calibri"/>
                <w:bCs/>
                <w:sz w:val="20"/>
                <w:szCs w:val="20"/>
              </w:rPr>
              <w:t>Moderate/ Severe Rehabilitation</w:t>
            </w:r>
          </w:p>
        </w:tc>
        <w:tc>
          <w:tcPr>
            <w:tcW w:w="1530" w:type="dxa"/>
            <w:tcBorders>
              <w:top w:val="single" w:sz="4" w:space="0" w:color="auto"/>
              <w:left w:val="nil"/>
              <w:bottom w:val="single" w:sz="4" w:space="0" w:color="auto"/>
              <w:right w:val="single" w:sz="4" w:space="0" w:color="auto"/>
            </w:tcBorders>
            <w:shd w:val="clear" w:color="000000" w:fill="FFFFFF"/>
          </w:tcPr>
          <w:p w:rsidR="007D6F36" w:rsidRPr="00A133F4" w:rsidRDefault="007D6F36" w:rsidP="002F1040">
            <w:pPr>
              <w:spacing w:after="0" w:line="240" w:lineRule="auto"/>
              <w:jc w:val="center"/>
              <w:rPr>
                <w:rFonts w:eastAsia="Times New Roman" w:cs="Calibri"/>
                <w:bCs/>
                <w:sz w:val="20"/>
                <w:szCs w:val="20"/>
              </w:rPr>
            </w:pPr>
            <w:r w:rsidRPr="00A133F4">
              <w:rPr>
                <w:rFonts w:eastAsia="Times New Roman" w:cs="Calibri"/>
                <w:bCs/>
                <w:sz w:val="20"/>
                <w:szCs w:val="20"/>
              </w:rPr>
              <w:t>Concussion/ Mild TBI</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7D6F36" w:rsidRPr="00A133F4" w:rsidRDefault="007D6F36" w:rsidP="002F1040">
            <w:pPr>
              <w:spacing w:after="0" w:line="240" w:lineRule="auto"/>
              <w:jc w:val="center"/>
              <w:rPr>
                <w:rFonts w:eastAsia="Times New Roman" w:cs="Calibri"/>
                <w:bCs/>
                <w:sz w:val="20"/>
                <w:szCs w:val="20"/>
              </w:rPr>
            </w:pPr>
            <w:r w:rsidRPr="00A133F4">
              <w:rPr>
                <w:rFonts w:eastAsia="Times New Roman" w:cs="Calibri"/>
                <w:bCs/>
                <w:sz w:val="20"/>
                <w:szCs w:val="20"/>
              </w:rPr>
              <w:t>Epidemiology</w:t>
            </w:r>
          </w:p>
        </w:tc>
      </w:tr>
      <w:tr w:rsidR="00D9505F" w:rsidRPr="00D9505F" w:rsidTr="00A133F4">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D9505F" w:rsidRPr="00D9505F" w:rsidRDefault="00D9505F" w:rsidP="00D9505F">
            <w:pPr>
              <w:spacing w:after="0" w:line="240" w:lineRule="auto"/>
              <w:jc w:val="center"/>
              <w:rPr>
                <w:rFonts w:eastAsia="Times New Roman" w:cs="Calibri"/>
                <w:bCs/>
                <w:sz w:val="20"/>
                <w:szCs w:val="20"/>
              </w:rPr>
            </w:pPr>
            <w:r w:rsidRPr="00D9505F">
              <w:rPr>
                <w:rFonts w:eastAsia="Times New Roman" w:cs="Calibri"/>
                <w:bCs/>
                <w:sz w:val="20"/>
                <w:szCs w:val="20"/>
              </w:rPr>
              <w:t xml:space="preserve">Interpersonal Negotiations Strategies (INS) </w:t>
            </w:r>
          </w:p>
        </w:tc>
        <w:tc>
          <w:tcPr>
            <w:tcW w:w="1170" w:type="dxa"/>
            <w:tcBorders>
              <w:top w:val="single" w:sz="4" w:space="0" w:color="auto"/>
              <w:left w:val="nil"/>
              <w:bottom w:val="single" w:sz="4" w:space="0" w:color="auto"/>
              <w:right w:val="single" w:sz="4" w:space="0" w:color="auto"/>
            </w:tcBorders>
            <w:shd w:val="clear" w:color="000000" w:fill="FFFFFF"/>
            <w:hideMark/>
          </w:tcPr>
          <w:p w:rsidR="00D9505F" w:rsidRPr="00D9505F" w:rsidRDefault="00D9505F" w:rsidP="00F514F4">
            <w:pPr>
              <w:spacing w:after="0" w:line="240" w:lineRule="auto"/>
              <w:jc w:val="center"/>
              <w:rPr>
                <w:rFonts w:eastAsia="Times New Roman" w:cs="Calibri"/>
                <w:bCs/>
                <w:sz w:val="20"/>
                <w:szCs w:val="20"/>
              </w:rPr>
            </w:pPr>
            <w:r w:rsidRPr="00D9505F">
              <w:rPr>
                <w:rFonts w:eastAsia="Times New Roman" w:cs="Calibri"/>
                <w:bCs/>
                <w:sz w:val="20"/>
                <w:szCs w:val="20"/>
              </w:rPr>
              <w:t xml:space="preserve">Pediatric </w:t>
            </w:r>
          </w:p>
        </w:tc>
        <w:tc>
          <w:tcPr>
            <w:tcW w:w="1530" w:type="dxa"/>
            <w:tcBorders>
              <w:top w:val="single" w:sz="4" w:space="0" w:color="auto"/>
              <w:left w:val="nil"/>
              <w:bottom w:val="single" w:sz="4" w:space="0" w:color="auto"/>
              <w:right w:val="single" w:sz="4" w:space="0" w:color="auto"/>
            </w:tcBorders>
            <w:shd w:val="clear" w:color="000000" w:fill="FFFFFF"/>
            <w:hideMark/>
          </w:tcPr>
          <w:p w:rsidR="00D9505F" w:rsidRPr="00D9505F" w:rsidRDefault="00D9505F" w:rsidP="00D9505F">
            <w:pPr>
              <w:spacing w:after="0" w:line="240" w:lineRule="auto"/>
              <w:jc w:val="center"/>
              <w:rPr>
                <w:rFonts w:eastAsia="Times New Roman" w:cs="Calibri"/>
                <w:bCs/>
                <w:sz w:val="20"/>
                <w:szCs w:val="20"/>
              </w:rPr>
            </w:pPr>
            <w:r w:rsidRPr="00D9505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D9505F" w:rsidRPr="00D9505F" w:rsidRDefault="00D9505F" w:rsidP="00D9505F">
            <w:pPr>
              <w:spacing w:after="0" w:line="240" w:lineRule="auto"/>
              <w:jc w:val="center"/>
              <w:rPr>
                <w:rFonts w:eastAsia="Times New Roman" w:cs="Calibri"/>
                <w:bCs/>
                <w:sz w:val="20"/>
                <w:szCs w:val="20"/>
              </w:rPr>
            </w:pPr>
            <w:r w:rsidRPr="00D9505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D9505F" w:rsidRPr="00D9505F" w:rsidRDefault="00D9505F" w:rsidP="00D9505F">
            <w:pPr>
              <w:spacing w:after="0" w:line="240" w:lineRule="auto"/>
              <w:jc w:val="center"/>
              <w:rPr>
                <w:rFonts w:eastAsia="Times New Roman" w:cs="Calibri"/>
                <w:bCs/>
                <w:sz w:val="20"/>
                <w:szCs w:val="20"/>
              </w:rPr>
            </w:pPr>
            <w:r w:rsidRPr="00D9505F">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D9505F" w:rsidRPr="00D9505F" w:rsidRDefault="00D9505F" w:rsidP="00D9505F">
            <w:pPr>
              <w:spacing w:after="0" w:line="240" w:lineRule="auto"/>
              <w:jc w:val="center"/>
              <w:rPr>
                <w:rFonts w:eastAsia="Times New Roman" w:cs="Calibri"/>
                <w:bCs/>
                <w:sz w:val="20"/>
                <w:szCs w:val="20"/>
              </w:rPr>
            </w:pPr>
            <w:r w:rsidRPr="00D9505F">
              <w:rPr>
                <w:rFonts w:eastAsia="Times New Roman" w:cs="Calibri"/>
                <w:bCs/>
                <w:sz w:val="20"/>
                <w:szCs w:val="20"/>
              </w:rPr>
              <w:t>Supplemental</w:t>
            </w:r>
          </w:p>
        </w:tc>
      </w:tr>
      <w:tr w:rsidR="00D9505F" w:rsidRPr="00D9505F" w:rsidTr="00A133F4">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D9505F" w:rsidRPr="00D9505F" w:rsidRDefault="00D9505F" w:rsidP="00D9505F">
            <w:pPr>
              <w:spacing w:after="0" w:line="240" w:lineRule="auto"/>
              <w:jc w:val="center"/>
              <w:rPr>
                <w:rFonts w:eastAsia="Times New Roman" w:cs="Calibri"/>
                <w:bCs/>
                <w:sz w:val="20"/>
                <w:szCs w:val="20"/>
              </w:rPr>
            </w:pPr>
            <w:r w:rsidRPr="00D9505F">
              <w:rPr>
                <w:rFonts w:eastAsia="Times New Roman" w:cs="Calibri"/>
                <w:bCs/>
                <w:sz w:val="20"/>
                <w:szCs w:val="20"/>
              </w:rPr>
              <w:t xml:space="preserve">Reading the Mind in the Eyes Test-Child Version </w:t>
            </w:r>
          </w:p>
        </w:tc>
        <w:tc>
          <w:tcPr>
            <w:tcW w:w="1170" w:type="dxa"/>
            <w:tcBorders>
              <w:top w:val="single" w:sz="4" w:space="0" w:color="auto"/>
              <w:left w:val="nil"/>
              <w:bottom w:val="single" w:sz="4" w:space="0" w:color="auto"/>
              <w:right w:val="single" w:sz="4" w:space="0" w:color="auto"/>
            </w:tcBorders>
            <w:shd w:val="clear" w:color="000000" w:fill="FFFFFF"/>
            <w:hideMark/>
          </w:tcPr>
          <w:p w:rsidR="00D9505F" w:rsidRPr="00D9505F" w:rsidRDefault="00D9505F" w:rsidP="00D9505F">
            <w:pPr>
              <w:spacing w:after="0" w:line="240" w:lineRule="auto"/>
              <w:jc w:val="center"/>
              <w:rPr>
                <w:rFonts w:eastAsia="Times New Roman" w:cs="Calibri"/>
                <w:bCs/>
                <w:sz w:val="20"/>
                <w:szCs w:val="20"/>
              </w:rPr>
            </w:pPr>
            <w:r w:rsidRPr="00D9505F">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D9505F" w:rsidRPr="00D9505F" w:rsidRDefault="00D9505F" w:rsidP="00D9505F">
            <w:pPr>
              <w:spacing w:after="0" w:line="240" w:lineRule="auto"/>
              <w:jc w:val="center"/>
              <w:rPr>
                <w:rFonts w:eastAsia="Times New Roman" w:cs="Calibri"/>
                <w:bCs/>
                <w:sz w:val="20"/>
                <w:szCs w:val="20"/>
              </w:rPr>
            </w:pPr>
            <w:r w:rsidRPr="00D9505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D9505F" w:rsidRPr="00D9505F" w:rsidRDefault="00D9505F" w:rsidP="00D9505F">
            <w:pPr>
              <w:spacing w:after="0" w:line="240" w:lineRule="auto"/>
              <w:jc w:val="center"/>
              <w:rPr>
                <w:rFonts w:eastAsia="Times New Roman" w:cs="Calibri"/>
                <w:bCs/>
                <w:sz w:val="20"/>
                <w:szCs w:val="20"/>
              </w:rPr>
            </w:pPr>
            <w:r w:rsidRPr="00D9505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D9505F" w:rsidRPr="00D9505F" w:rsidRDefault="00D9505F" w:rsidP="00D9505F">
            <w:pPr>
              <w:spacing w:after="0" w:line="240" w:lineRule="auto"/>
              <w:jc w:val="center"/>
              <w:rPr>
                <w:rFonts w:eastAsia="Times New Roman" w:cs="Calibri"/>
                <w:bCs/>
                <w:sz w:val="20"/>
                <w:szCs w:val="20"/>
              </w:rPr>
            </w:pPr>
            <w:r w:rsidRPr="00D9505F">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D9505F" w:rsidRPr="00D9505F" w:rsidRDefault="00D9505F" w:rsidP="00D9505F">
            <w:pPr>
              <w:spacing w:after="0" w:line="240" w:lineRule="auto"/>
              <w:jc w:val="center"/>
              <w:rPr>
                <w:rFonts w:eastAsia="Times New Roman" w:cs="Calibri"/>
                <w:bCs/>
                <w:sz w:val="20"/>
                <w:szCs w:val="20"/>
              </w:rPr>
            </w:pPr>
            <w:r w:rsidRPr="00D9505F">
              <w:rPr>
                <w:rFonts w:eastAsia="Times New Roman" w:cs="Calibri"/>
                <w:bCs/>
                <w:sz w:val="20"/>
                <w:szCs w:val="20"/>
              </w:rPr>
              <w:t>Supplemental</w:t>
            </w:r>
          </w:p>
        </w:tc>
      </w:tr>
      <w:tr w:rsidR="00D9505F" w:rsidRPr="00D9505F" w:rsidTr="00A133F4">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D9505F" w:rsidRPr="00D9505F" w:rsidRDefault="00D9505F" w:rsidP="00D9505F">
            <w:pPr>
              <w:spacing w:after="0" w:line="240" w:lineRule="auto"/>
              <w:jc w:val="center"/>
              <w:rPr>
                <w:rFonts w:eastAsia="Times New Roman" w:cs="Calibri"/>
                <w:bCs/>
                <w:sz w:val="20"/>
                <w:szCs w:val="20"/>
              </w:rPr>
            </w:pPr>
            <w:r w:rsidRPr="00D9505F">
              <w:rPr>
                <w:rFonts w:eastAsia="Times New Roman" w:cs="Calibri"/>
                <w:bCs/>
                <w:sz w:val="20"/>
                <w:szCs w:val="20"/>
              </w:rPr>
              <w:t xml:space="preserve">Video Social Inference Test (VSIT) </w:t>
            </w:r>
          </w:p>
        </w:tc>
        <w:tc>
          <w:tcPr>
            <w:tcW w:w="1170" w:type="dxa"/>
            <w:tcBorders>
              <w:top w:val="single" w:sz="4" w:space="0" w:color="auto"/>
              <w:left w:val="nil"/>
              <w:bottom w:val="single" w:sz="4" w:space="0" w:color="auto"/>
              <w:right w:val="single" w:sz="4" w:space="0" w:color="auto"/>
            </w:tcBorders>
            <w:shd w:val="clear" w:color="000000" w:fill="FFFFFF"/>
            <w:hideMark/>
          </w:tcPr>
          <w:p w:rsidR="00D9505F" w:rsidRPr="00D9505F" w:rsidRDefault="00D9505F" w:rsidP="00D9505F">
            <w:pPr>
              <w:spacing w:after="0" w:line="240" w:lineRule="auto"/>
              <w:jc w:val="center"/>
              <w:rPr>
                <w:rFonts w:eastAsia="Times New Roman" w:cs="Calibri"/>
                <w:bCs/>
                <w:sz w:val="20"/>
                <w:szCs w:val="20"/>
              </w:rPr>
            </w:pPr>
            <w:r w:rsidRPr="00D9505F">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D9505F" w:rsidRPr="00D9505F" w:rsidRDefault="00D9505F" w:rsidP="00D9505F">
            <w:pPr>
              <w:spacing w:after="0" w:line="240" w:lineRule="auto"/>
              <w:jc w:val="center"/>
              <w:rPr>
                <w:rFonts w:eastAsia="Times New Roman" w:cs="Calibri"/>
                <w:bCs/>
                <w:sz w:val="20"/>
                <w:szCs w:val="20"/>
              </w:rPr>
            </w:pPr>
            <w:r w:rsidRPr="00D9505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D9505F" w:rsidRPr="00D9505F" w:rsidRDefault="00D9505F" w:rsidP="00D9505F">
            <w:pPr>
              <w:spacing w:after="0" w:line="240" w:lineRule="auto"/>
              <w:jc w:val="center"/>
              <w:rPr>
                <w:rFonts w:eastAsia="Times New Roman" w:cs="Calibri"/>
                <w:bCs/>
                <w:sz w:val="20"/>
                <w:szCs w:val="20"/>
              </w:rPr>
            </w:pPr>
            <w:r w:rsidRPr="00D9505F">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D9505F" w:rsidRPr="00D9505F" w:rsidRDefault="00D9505F" w:rsidP="00D9505F">
            <w:pPr>
              <w:spacing w:after="0" w:line="240" w:lineRule="auto"/>
              <w:jc w:val="center"/>
              <w:rPr>
                <w:rFonts w:eastAsia="Times New Roman" w:cs="Calibri"/>
                <w:bCs/>
                <w:sz w:val="20"/>
                <w:szCs w:val="20"/>
              </w:rPr>
            </w:pPr>
            <w:r w:rsidRPr="00D9505F">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D9505F" w:rsidRPr="00D9505F" w:rsidRDefault="00D9505F" w:rsidP="00D9505F">
            <w:pPr>
              <w:spacing w:after="0" w:line="240" w:lineRule="auto"/>
              <w:jc w:val="center"/>
              <w:rPr>
                <w:rFonts w:eastAsia="Times New Roman" w:cs="Calibri"/>
                <w:bCs/>
                <w:sz w:val="20"/>
                <w:szCs w:val="20"/>
              </w:rPr>
            </w:pPr>
            <w:r w:rsidRPr="00D9505F">
              <w:rPr>
                <w:rFonts w:eastAsia="Times New Roman" w:cs="Calibri"/>
                <w:bCs/>
                <w:sz w:val="20"/>
                <w:szCs w:val="20"/>
              </w:rPr>
              <w:t>Supplemental</w:t>
            </w:r>
          </w:p>
        </w:tc>
      </w:tr>
    </w:tbl>
    <w:p w:rsidR="007D6F36" w:rsidRPr="00A133F4" w:rsidRDefault="007D6F36" w:rsidP="00A133F4">
      <w:pPr>
        <w:pStyle w:val="Heading3"/>
      </w:pPr>
      <w:bookmarkStart w:id="0" w:name="_GoBack"/>
      <w:bookmarkEnd w:id="0"/>
      <w:r w:rsidRPr="00A133F4">
        <w:t>References</w:t>
      </w:r>
    </w:p>
    <w:p w:rsidR="007D6F36" w:rsidRDefault="007D6F36" w:rsidP="007D6F36">
      <w:pPr>
        <w:rPr>
          <w:rFonts w:cs="Calibri"/>
        </w:rPr>
      </w:pPr>
      <w:r w:rsidRPr="005463F4">
        <w:rPr>
          <w:rFonts w:cs="Calibri"/>
        </w:rPr>
        <w:t xml:space="preserve">McCauley SR, Wilde EA, Anderson VA, </w:t>
      </w:r>
      <w:proofErr w:type="spellStart"/>
      <w:r w:rsidRPr="005463F4">
        <w:rPr>
          <w:rFonts w:cs="Calibri"/>
        </w:rPr>
        <w:t>Bedell</w:t>
      </w:r>
      <w:proofErr w:type="spellEnd"/>
      <w:r w:rsidRPr="005463F4">
        <w:rPr>
          <w:rFonts w:cs="Calibri"/>
        </w:rPr>
        <w:t xml:space="preserve"> G, Beers SR, Campbell TF, Chapman SB, Ewing-Cobbs L, </w:t>
      </w:r>
      <w:proofErr w:type="spellStart"/>
      <w:r w:rsidRPr="005463F4">
        <w:rPr>
          <w:rFonts w:cs="Calibri"/>
        </w:rPr>
        <w:t>Gerring</w:t>
      </w:r>
      <w:proofErr w:type="spellEnd"/>
      <w:r w:rsidRPr="005463F4">
        <w:rPr>
          <w:rFonts w:cs="Calibri"/>
        </w:rPr>
        <w:t xml:space="preserve"> JP, Gioia GA, Levin HS, Michaud LJ, Prasad MR, </w:t>
      </w:r>
      <w:proofErr w:type="spellStart"/>
      <w:r w:rsidRPr="005463F4">
        <w:rPr>
          <w:rFonts w:cs="Calibri"/>
        </w:rPr>
        <w:t>Swaine</w:t>
      </w:r>
      <w:proofErr w:type="spellEnd"/>
      <w:r w:rsidRPr="005463F4">
        <w:rPr>
          <w:rFonts w:cs="Calibri"/>
        </w:rPr>
        <w:t xml:space="preserve"> BR, </w:t>
      </w:r>
      <w:proofErr w:type="spellStart"/>
      <w:r w:rsidRPr="005463F4">
        <w:rPr>
          <w:rFonts w:cs="Calibri"/>
        </w:rPr>
        <w:t>Turkstra</w:t>
      </w:r>
      <w:proofErr w:type="spellEnd"/>
      <w:r w:rsidRPr="005463F4">
        <w:rPr>
          <w:rFonts w:cs="Calibri"/>
        </w:rPr>
        <w:t xml:space="preserve"> LS, Wade SL, Yeates KO. Recommendations for the Use of Common Outcome Measures in Pediatric Traumatic Brain Injury Research. J </w:t>
      </w:r>
      <w:proofErr w:type="spellStart"/>
      <w:r w:rsidRPr="005463F4">
        <w:rPr>
          <w:rFonts w:cs="Calibri"/>
        </w:rPr>
        <w:t>Neurotrauma</w:t>
      </w:r>
      <w:proofErr w:type="spellEnd"/>
      <w:r w:rsidRPr="005463F4">
        <w:rPr>
          <w:rFonts w:cs="Calibri"/>
        </w:rPr>
        <w:t>. 2012 March; 29: 678-705. PubMed PMID: 21644810.</w:t>
      </w:r>
    </w:p>
    <w:p w:rsidR="00D9505F" w:rsidRDefault="00D9505F" w:rsidP="00A133F4">
      <w:pPr>
        <w:pStyle w:val="Heading2"/>
      </w:pPr>
      <w:r>
        <w:br w:type="page"/>
      </w:r>
      <w:r w:rsidRPr="00D9505F">
        <w:lastRenderedPageBreak/>
        <w:t xml:space="preserve">Interpersonal Negotiations Strategies (INS) </w:t>
      </w:r>
    </w:p>
    <w:p w:rsidR="0089414D" w:rsidRPr="00A133F4" w:rsidRDefault="0089414D" w:rsidP="00A133F4">
      <w:pPr>
        <w:pStyle w:val="Heading3"/>
      </w:pPr>
      <w:r w:rsidRPr="00A133F4">
        <w:t>DESCRIPTION</w:t>
      </w:r>
    </w:p>
    <w:p w:rsidR="00D9505F" w:rsidRPr="007D6F36" w:rsidRDefault="00D9505F" w:rsidP="00B73A48">
      <w:pPr>
        <w:spacing w:after="120"/>
        <w:rPr>
          <w:rFonts w:cs="Calibri"/>
        </w:rPr>
      </w:pPr>
      <w:r w:rsidRPr="00D9505F">
        <w:rPr>
          <w:rFonts w:cs="Calibri"/>
        </w:rPr>
        <w:t>The INS measure</w:t>
      </w:r>
      <w:r w:rsidR="0049532E">
        <w:rPr>
          <w:rFonts w:cs="Calibri"/>
        </w:rPr>
        <w:t>s</w:t>
      </w:r>
      <w:r w:rsidRPr="00D9505F">
        <w:rPr>
          <w:rFonts w:cs="Calibri"/>
        </w:rPr>
        <w:t xml:space="preserve"> of social </w:t>
      </w:r>
      <w:r w:rsidR="0049532E">
        <w:rPr>
          <w:rFonts w:cs="Calibri"/>
        </w:rPr>
        <w:t xml:space="preserve">cognition through </w:t>
      </w:r>
      <w:r w:rsidRPr="00D9505F">
        <w:rPr>
          <w:rFonts w:cs="Calibri"/>
        </w:rPr>
        <w:t>semi-structured interview</w:t>
      </w:r>
      <w:r w:rsidR="0049532E">
        <w:rPr>
          <w:rFonts w:cs="Calibri"/>
        </w:rPr>
        <w:t xml:space="preserve">.  Four scenarios are presented to the subject, who must employ social problem-solving skills to work through four steps: </w:t>
      </w:r>
      <w:r w:rsidRPr="00D9505F">
        <w:rPr>
          <w:rFonts w:cs="Calibri"/>
        </w:rPr>
        <w:t xml:space="preserve">defining the problem, generating alternative strategies, selecting specific strategy, and evaluating outcome. </w:t>
      </w:r>
    </w:p>
    <w:p w:rsidR="005500D8" w:rsidRPr="00A133F4" w:rsidRDefault="0089414D" w:rsidP="00A133F4">
      <w:pPr>
        <w:pStyle w:val="Heading3"/>
      </w:pPr>
      <w:r w:rsidRPr="00A133F4">
        <w:t xml:space="preserve">PERMISSIBLE VALUES </w:t>
      </w:r>
    </w:p>
    <w:p w:rsidR="00D9505F" w:rsidRPr="0049532E" w:rsidRDefault="00D9505F" w:rsidP="00FD6879">
      <w:pPr>
        <w:spacing w:after="120"/>
        <w:rPr>
          <w:rFonts w:cs="Calibri"/>
        </w:rPr>
      </w:pPr>
      <w:r w:rsidRPr="0049532E">
        <w:rPr>
          <w:rFonts w:cs="Calibri"/>
        </w:rPr>
        <w:t>For each task, the child's response is scored on a scale from 1-4 (impulsive = 1 point, unilateral = 2 points, reciprocal = 3 points, or collaborative = 4 points). An average score is obtained from the four problems. Higher scores indicate better interpersonal negotiation strategies.</w:t>
      </w:r>
    </w:p>
    <w:p w:rsidR="0089414D" w:rsidRPr="00A133F4" w:rsidRDefault="0089414D" w:rsidP="00A133F4">
      <w:pPr>
        <w:pStyle w:val="Heading3"/>
      </w:pPr>
      <w:r w:rsidRPr="00A133F4">
        <w:t xml:space="preserve">PROCEDURES </w:t>
      </w:r>
    </w:p>
    <w:p w:rsidR="00D9505F" w:rsidRPr="0049532E" w:rsidRDefault="00D9505F" w:rsidP="00FD6879">
      <w:pPr>
        <w:rPr>
          <w:rFonts w:cs="Calibri"/>
        </w:rPr>
      </w:pPr>
      <w:r w:rsidRPr="0049532E">
        <w:rPr>
          <w:rFonts w:cs="Calibri"/>
        </w:rPr>
        <w:t>The test is administered</w:t>
      </w:r>
      <w:r w:rsidR="00A133F4">
        <w:rPr>
          <w:rFonts w:cs="Calibri"/>
        </w:rPr>
        <w:t xml:space="preserve"> as a semi structured interview.</w:t>
      </w:r>
    </w:p>
    <w:p w:rsidR="0032333B" w:rsidRDefault="0089414D" w:rsidP="00A133F4">
      <w:pPr>
        <w:pStyle w:val="Heading3"/>
      </w:pPr>
      <w:r w:rsidRPr="007D6F36">
        <w:t>COMMENTS</w:t>
      </w:r>
    </w:p>
    <w:p w:rsidR="00D9505F" w:rsidRPr="0049532E" w:rsidRDefault="00D9505F" w:rsidP="0089414D">
      <w:pPr>
        <w:spacing w:after="120"/>
        <w:rPr>
          <w:rFonts w:cs="Calibri"/>
        </w:rPr>
      </w:pPr>
      <w:r w:rsidRPr="0049532E">
        <w:rPr>
          <w:rFonts w:cs="Calibri"/>
        </w:rPr>
        <w:t>The test is normed for ages 6-16.</w:t>
      </w:r>
    </w:p>
    <w:p w:rsidR="0089414D" w:rsidRDefault="0089414D" w:rsidP="00A133F4">
      <w:pPr>
        <w:pStyle w:val="Heading3"/>
      </w:pPr>
      <w:r w:rsidRPr="007D6F36">
        <w:t>RATIONALE</w:t>
      </w:r>
    </w:p>
    <w:p w:rsidR="00D9505F" w:rsidRPr="0049532E" w:rsidRDefault="0049532E" w:rsidP="0089414D">
      <w:pPr>
        <w:spacing w:after="120"/>
        <w:rPr>
          <w:rFonts w:cs="Calibri"/>
        </w:rPr>
      </w:pPr>
      <w:r w:rsidRPr="0049532E">
        <w:rPr>
          <w:rFonts w:cs="Calibri"/>
        </w:rPr>
        <w:t>“</w:t>
      </w:r>
      <w:r w:rsidR="00D9505F" w:rsidRPr="0049532E">
        <w:rPr>
          <w:rFonts w:cs="Calibri"/>
        </w:rPr>
        <w:t>The INS interview and scoring system has demonstrated internal reliability and predictive validity with pediatric TBI research and has been used in other pediatric TBI studies.</w:t>
      </w:r>
      <w:r w:rsidRPr="0049532E">
        <w:rPr>
          <w:rFonts w:cs="Calibri"/>
        </w:rPr>
        <w:t>”</w:t>
      </w:r>
      <w:r>
        <w:rPr>
          <w:rFonts w:cs="Calibri"/>
        </w:rPr>
        <w:t xml:space="preserve"> – McCauley et al. 2012</w:t>
      </w:r>
    </w:p>
    <w:p w:rsidR="00FD6879" w:rsidRDefault="00A133F4" w:rsidP="00A133F4">
      <w:pPr>
        <w:pStyle w:val="Heading3"/>
      </w:pPr>
      <w:r>
        <w:t>REFERENCES</w:t>
      </w:r>
    </w:p>
    <w:p w:rsidR="00D9505F" w:rsidRPr="0049532E" w:rsidRDefault="00D9505F" w:rsidP="00D9505F">
      <w:pPr>
        <w:spacing w:after="120"/>
        <w:rPr>
          <w:rFonts w:cs="Calibri"/>
        </w:rPr>
      </w:pPr>
      <w:proofErr w:type="spellStart"/>
      <w:r w:rsidRPr="0049532E">
        <w:rPr>
          <w:rFonts w:cs="Calibri"/>
        </w:rPr>
        <w:t>Yeates</w:t>
      </w:r>
      <w:proofErr w:type="spellEnd"/>
      <w:r w:rsidRPr="0049532E">
        <w:rPr>
          <w:rFonts w:cs="Calibri"/>
        </w:rPr>
        <w:t xml:space="preserve">, K., Schultz, L., and Selman, R. (1990). Bridging the gaps in child-clinical assessment: Toward the application of social-cognitive development theory. </w:t>
      </w:r>
      <w:proofErr w:type="spellStart"/>
      <w:r w:rsidRPr="0049532E">
        <w:rPr>
          <w:rFonts w:cs="Calibri"/>
        </w:rPr>
        <w:t>Clin</w:t>
      </w:r>
      <w:proofErr w:type="spellEnd"/>
      <w:r w:rsidRPr="0049532E">
        <w:rPr>
          <w:rFonts w:cs="Calibri"/>
        </w:rPr>
        <w:t xml:space="preserve"> </w:t>
      </w:r>
      <w:proofErr w:type="spellStart"/>
      <w:r w:rsidRPr="0049532E">
        <w:rPr>
          <w:rFonts w:cs="Calibri"/>
        </w:rPr>
        <w:t>Psychol</w:t>
      </w:r>
      <w:proofErr w:type="spellEnd"/>
      <w:r w:rsidRPr="0049532E">
        <w:rPr>
          <w:rFonts w:cs="Calibri"/>
        </w:rPr>
        <w:t xml:space="preserve"> Rev 10, 567-588.</w:t>
      </w:r>
    </w:p>
    <w:p w:rsidR="00D9505F" w:rsidRPr="0049532E" w:rsidRDefault="00D9505F" w:rsidP="00D9505F">
      <w:pPr>
        <w:spacing w:after="120"/>
        <w:rPr>
          <w:rFonts w:cs="Calibri"/>
        </w:rPr>
      </w:pPr>
      <w:proofErr w:type="spellStart"/>
      <w:r w:rsidRPr="0049532E">
        <w:rPr>
          <w:rFonts w:cs="Calibri"/>
        </w:rPr>
        <w:t>Janusz</w:t>
      </w:r>
      <w:proofErr w:type="spellEnd"/>
      <w:r w:rsidRPr="0049532E">
        <w:rPr>
          <w:rFonts w:cs="Calibri"/>
        </w:rPr>
        <w:t xml:space="preserve">, J., Kirkwood, M., Yeates, K., and Taylor, H. (2002). Social problem-solving skills in children with traumatic brain injury: Long-term outcomes and prediction of social competence. Child </w:t>
      </w:r>
      <w:proofErr w:type="spellStart"/>
      <w:r w:rsidRPr="0049532E">
        <w:rPr>
          <w:rFonts w:cs="Calibri"/>
        </w:rPr>
        <w:t>Neuropsychol</w:t>
      </w:r>
      <w:proofErr w:type="spellEnd"/>
      <w:r w:rsidRPr="0049532E">
        <w:rPr>
          <w:rFonts w:cs="Calibri"/>
        </w:rPr>
        <w:t xml:space="preserve"> 8, 179-194.</w:t>
      </w:r>
    </w:p>
    <w:p w:rsidR="00D9505F" w:rsidRPr="0049532E" w:rsidRDefault="00D9505F" w:rsidP="00D9505F">
      <w:pPr>
        <w:spacing w:after="120"/>
        <w:rPr>
          <w:rFonts w:cs="Calibri"/>
        </w:rPr>
      </w:pPr>
      <w:r w:rsidRPr="0049532E">
        <w:rPr>
          <w:rFonts w:cs="Calibri"/>
        </w:rPr>
        <w:t>Yeates, K., Schultz, L., and Selman, R. (1991). The development of interpersonal negotiation strategies in thought and action: A social cognitive link to behavioral adjustment and social status. Merrill Palmer Q 37, 369-406.</w:t>
      </w:r>
    </w:p>
    <w:p w:rsidR="00D9505F" w:rsidRPr="0049532E" w:rsidRDefault="00D9505F" w:rsidP="00D9505F">
      <w:pPr>
        <w:spacing w:after="120"/>
        <w:rPr>
          <w:rFonts w:cs="Calibri"/>
        </w:rPr>
      </w:pPr>
      <w:proofErr w:type="spellStart"/>
      <w:r w:rsidRPr="0049532E">
        <w:rPr>
          <w:rFonts w:cs="Calibri"/>
        </w:rPr>
        <w:t>Hanten</w:t>
      </w:r>
      <w:proofErr w:type="spellEnd"/>
      <w:r w:rsidRPr="0049532E">
        <w:rPr>
          <w:rFonts w:cs="Calibri"/>
        </w:rPr>
        <w:t xml:space="preserve">, G., Wilde, E., </w:t>
      </w:r>
      <w:proofErr w:type="spellStart"/>
      <w:r w:rsidRPr="0049532E">
        <w:rPr>
          <w:rFonts w:cs="Calibri"/>
        </w:rPr>
        <w:t>Menefee</w:t>
      </w:r>
      <w:proofErr w:type="spellEnd"/>
      <w:r w:rsidRPr="0049532E">
        <w:rPr>
          <w:rFonts w:cs="Calibri"/>
        </w:rPr>
        <w:t xml:space="preserve">, D., Li, X., Lane, S., Vasquez, C., Chu, Z., Ramos, M., </w:t>
      </w:r>
      <w:proofErr w:type="spellStart"/>
      <w:r w:rsidRPr="0049532E">
        <w:rPr>
          <w:rFonts w:cs="Calibri"/>
        </w:rPr>
        <w:t>Yallampalli</w:t>
      </w:r>
      <w:proofErr w:type="spellEnd"/>
      <w:r w:rsidRPr="0049532E">
        <w:rPr>
          <w:rFonts w:cs="Calibri"/>
        </w:rPr>
        <w:t xml:space="preserve">, R., Swank, P., Chapman, S., </w:t>
      </w:r>
      <w:proofErr w:type="spellStart"/>
      <w:r w:rsidRPr="0049532E">
        <w:rPr>
          <w:rFonts w:cs="Calibri"/>
        </w:rPr>
        <w:t>Gamino</w:t>
      </w:r>
      <w:proofErr w:type="spellEnd"/>
      <w:r w:rsidRPr="0049532E">
        <w:rPr>
          <w:rFonts w:cs="Calibri"/>
        </w:rPr>
        <w:t>, J., Hunter, J., and Levin, H</w:t>
      </w:r>
      <w:proofErr w:type="gramStart"/>
      <w:r w:rsidRPr="0049532E">
        <w:rPr>
          <w:rFonts w:cs="Calibri"/>
        </w:rPr>
        <w:t>.(</w:t>
      </w:r>
      <w:proofErr w:type="gramEnd"/>
      <w:r w:rsidRPr="0049532E">
        <w:rPr>
          <w:rFonts w:cs="Calibri"/>
        </w:rPr>
        <w:t>2008). Correlates of social problem solving during the first year after traumatic brain injury in children. Neuropsychology 22(3), 357-370.</w:t>
      </w:r>
    </w:p>
    <w:p w:rsidR="00D9505F" w:rsidRDefault="00D9505F" w:rsidP="00A133F4">
      <w:pPr>
        <w:pStyle w:val="Heading2"/>
      </w:pPr>
      <w:r w:rsidRPr="0049532E">
        <w:br w:type="page"/>
      </w:r>
      <w:r w:rsidRPr="00D9505F">
        <w:lastRenderedPageBreak/>
        <w:t xml:space="preserve">Reading the Mind in the Eyes Test-Child Version </w:t>
      </w:r>
    </w:p>
    <w:p w:rsidR="0089414D" w:rsidRDefault="0089414D" w:rsidP="00A133F4">
      <w:pPr>
        <w:pStyle w:val="Heading3"/>
      </w:pPr>
      <w:r w:rsidRPr="007D6F36">
        <w:t>DESCRIPTION</w:t>
      </w:r>
    </w:p>
    <w:p w:rsidR="00D9505F" w:rsidRPr="00F514F4" w:rsidRDefault="0049532E" w:rsidP="0089414D">
      <w:pPr>
        <w:spacing w:after="120"/>
        <w:rPr>
          <w:rFonts w:cs="Calibri"/>
        </w:rPr>
      </w:pPr>
      <w:r w:rsidRPr="00F514F4">
        <w:rPr>
          <w:rFonts w:cs="Calibri"/>
        </w:rPr>
        <w:t xml:space="preserve">In this test, children are presented with photographs of the eyes of adults and given a choice of four emotions </w:t>
      </w:r>
      <w:r w:rsidR="00F514F4" w:rsidRPr="00F514F4">
        <w:rPr>
          <w:rFonts w:cs="Calibri"/>
        </w:rPr>
        <w:t>or mental states for each picture, and must choose which emotion is represented</w:t>
      </w:r>
      <w:r w:rsidRPr="00F514F4">
        <w:rPr>
          <w:rFonts w:cs="Calibri"/>
        </w:rPr>
        <w:t xml:space="preserve">. The test was originally developed for autism and </w:t>
      </w:r>
      <w:r w:rsidR="00F514F4" w:rsidRPr="00F514F4">
        <w:rPr>
          <w:rFonts w:cs="Calibri"/>
        </w:rPr>
        <w:t xml:space="preserve">has applicability to TBI. </w:t>
      </w:r>
    </w:p>
    <w:p w:rsidR="00113154" w:rsidRDefault="0089414D" w:rsidP="00A133F4">
      <w:pPr>
        <w:pStyle w:val="Heading3"/>
      </w:pPr>
      <w:r w:rsidRPr="007D6F36">
        <w:t xml:space="preserve">PERMISSIBLE VALUES </w:t>
      </w:r>
    </w:p>
    <w:p w:rsidR="00D9505F" w:rsidRPr="0049532E" w:rsidRDefault="00D9505F" w:rsidP="0089414D">
      <w:pPr>
        <w:spacing w:after="120"/>
        <w:rPr>
          <w:rFonts w:cs="Calibri"/>
        </w:rPr>
      </w:pPr>
      <w:r w:rsidRPr="0049532E">
        <w:rPr>
          <w:rFonts w:cs="Calibri"/>
        </w:rPr>
        <w:t>Range of scores is 0-36.</w:t>
      </w:r>
    </w:p>
    <w:p w:rsidR="0089414D" w:rsidRDefault="0089414D" w:rsidP="00A133F4">
      <w:pPr>
        <w:pStyle w:val="Heading3"/>
      </w:pPr>
      <w:r w:rsidRPr="007D6F36">
        <w:t xml:space="preserve">PROCEDURES </w:t>
      </w:r>
    </w:p>
    <w:p w:rsidR="00D9505F" w:rsidRPr="0049532E" w:rsidRDefault="00D9505F" w:rsidP="0089414D">
      <w:pPr>
        <w:spacing w:after="120"/>
        <w:rPr>
          <w:rFonts w:cs="Calibri"/>
        </w:rPr>
      </w:pPr>
      <w:r w:rsidRPr="0049532E">
        <w:rPr>
          <w:rFonts w:cs="Calibri"/>
        </w:rPr>
        <w:t>The test is individually administered and takes about 10 minutes.</w:t>
      </w:r>
    </w:p>
    <w:p w:rsidR="0032333B" w:rsidRDefault="0089414D" w:rsidP="00A133F4">
      <w:pPr>
        <w:pStyle w:val="Heading3"/>
      </w:pPr>
      <w:r w:rsidRPr="007D6F36">
        <w:t>COMMENTS</w:t>
      </w:r>
    </w:p>
    <w:p w:rsidR="00D9505F" w:rsidRPr="0049532E" w:rsidRDefault="00D9505F" w:rsidP="0089414D">
      <w:pPr>
        <w:spacing w:after="120"/>
        <w:rPr>
          <w:rFonts w:cs="Calibri"/>
        </w:rPr>
      </w:pPr>
      <w:r w:rsidRPr="0049532E">
        <w:rPr>
          <w:rFonts w:cs="Calibri"/>
        </w:rPr>
        <w:t>Tested on children as young as 6, but instrument has not been normed or standardized.</w:t>
      </w:r>
    </w:p>
    <w:p w:rsidR="0089414D" w:rsidRDefault="0089414D" w:rsidP="00A133F4">
      <w:pPr>
        <w:pStyle w:val="Heading3"/>
      </w:pPr>
      <w:r w:rsidRPr="007D6F36">
        <w:t>RATIONALE</w:t>
      </w:r>
    </w:p>
    <w:p w:rsidR="0049532E" w:rsidRPr="0049532E" w:rsidRDefault="0049532E" w:rsidP="0089414D">
      <w:pPr>
        <w:spacing w:after="120"/>
        <w:rPr>
          <w:rFonts w:cs="Calibri"/>
        </w:rPr>
      </w:pPr>
      <w:r>
        <w:rPr>
          <w:rFonts w:cs="Calibri"/>
        </w:rPr>
        <w:t>“</w:t>
      </w:r>
      <w:r w:rsidRPr="0049532E">
        <w:rPr>
          <w:rFonts w:cs="Calibri"/>
        </w:rPr>
        <w:t xml:space="preserve">Social cognitive functions, including emotion recognition, are increasingly recognized as factors in psychosocial outcome studies of typically </w:t>
      </w:r>
      <w:r>
        <w:rPr>
          <w:rFonts w:cs="Calibri"/>
        </w:rPr>
        <w:t>developing children and adults.” – McCauley et al. 2012</w:t>
      </w:r>
    </w:p>
    <w:p w:rsidR="00113154" w:rsidRDefault="0089414D" w:rsidP="00A133F4">
      <w:pPr>
        <w:pStyle w:val="Heading3"/>
      </w:pPr>
      <w:r w:rsidRPr="007D6F36">
        <w:t>REFERENCES</w:t>
      </w:r>
    </w:p>
    <w:p w:rsidR="00D9505F" w:rsidRPr="0049532E" w:rsidRDefault="00D9505F" w:rsidP="00D9505F">
      <w:pPr>
        <w:spacing w:after="120"/>
        <w:rPr>
          <w:rFonts w:cs="Calibri"/>
        </w:rPr>
      </w:pPr>
      <w:r w:rsidRPr="0049532E">
        <w:rPr>
          <w:rFonts w:cs="Calibri"/>
        </w:rPr>
        <w:t xml:space="preserve">Baron-Cohen, S., Wheelwright, S., </w:t>
      </w:r>
      <w:proofErr w:type="spellStart"/>
      <w:r w:rsidRPr="0049532E">
        <w:rPr>
          <w:rFonts w:cs="Calibri"/>
        </w:rPr>
        <w:t>Scahill</w:t>
      </w:r>
      <w:proofErr w:type="spellEnd"/>
      <w:r w:rsidRPr="0049532E">
        <w:rPr>
          <w:rFonts w:cs="Calibri"/>
        </w:rPr>
        <w:t xml:space="preserve">, V., Lawson, J., and </w:t>
      </w:r>
      <w:proofErr w:type="spellStart"/>
      <w:r w:rsidRPr="0049532E">
        <w:rPr>
          <w:rFonts w:cs="Calibri"/>
        </w:rPr>
        <w:t>Spong</w:t>
      </w:r>
      <w:proofErr w:type="spellEnd"/>
      <w:r w:rsidRPr="0049532E">
        <w:rPr>
          <w:rFonts w:cs="Calibri"/>
        </w:rPr>
        <w:t xml:space="preserve">, A. (2001). Are intuitive physics and intuitive psychology independent? A test with children with Asperger Syndrome. J </w:t>
      </w:r>
      <w:proofErr w:type="spellStart"/>
      <w:r w:rsidRPr="0049532E">
        <w:rPr>
          <w:rFonts w:cs="Calibri"/>
        </w:rPr>
        <w:t>Dev</w:t>
      </w:r>
      <w:proofErr w:type="spellEnd"/>
      <w:r w:rsidRPr="0049532E">
        <w:rPr>
          <w:rFonts w:cs="Calibri"/>
        </w:rPr>
        <w:t xml:space="preserve"> Learn Dis 5, 47-78.</w:t>
      </w:r>
    </w:p>
    <w:p w:rsidR="00D9505F" w:rsidRPr="0049532E" w:rsidRDefault="00D9505F" w:rsidP="00D9505F">
      <w:pPr>
        <w:spacing w:after="120"/>
        <w:rPr>
          <w:rFonts w:cs="Calibri"/>
        </w:rPr>
      </w:pPr>
      <w:proofErr w:type="spellStart"/>
      <w:r w:rsidRPr="0049532E">
        <w:rPr>
          <w:rFonts w:cs="Calibri"/>
        </w:rPr>
        <w:t>Tonks</w:t>
      </w:r>
      <w:proofErr w:type="spellEnd"/>
      <w:r w:rsidRPr="0049532E">
        <w:rPr>
          <w:rFonts w:cs="Calibri"/>
        </w:rPr>
        <w:t xml:space="preserve">, J., Williams, W., Frampton, I., Yates, P., and Slater, A. (2007). Reading emotions after child brain injury: a comparison between children with brain injury and non-injured controls. Brain </w:t>
      </w:r>
      <w:proofErr w:type="spellStart"/>
      <w:r w:rsidRPr="0049532E">
        <w:rPr>
          <w:rFonts w:cs="Calibri"/>
        </w:rPr>
        <w:t>Inj</w:t>
      </w:r>
      <w:proofErr w:type="spellEnd"/>
      <w:r w:rsidRPr="0049532E">
        <w:rPr>
          <w:rFonts w:cs="Calibri"/>
        </w:rPr>
        <w:t xml:space="preserve"> 21(7), 731-739.</w:t>
      </w:r>
    </w:p>
    <w:p w:rsidR="00D9505F" w:rsidRPr="0049532E" w:rsidRDefault="00D9505F" w:rsidP="00D9505F">
      <w:pPr>
        <w:spacing w:after="120"/>
        <w:rPr>
          <w:rFonts w:cs="Calibri"/>
        </w:rPr>
      </w:pPr>
      <w:proofErr w:type="spellStart"/>
      <w:r w:rsidRPr="0049532E">
        <w:rPr>
          <w:rFonts w:cs="Calibri"/>
        </w:rPr>
        <w:t>Tonks</w:t>
      </w:r>
      <w:proofErr w:type="spellEnd"/>
      <w:r w:rsidRPr="0049532E">
        <w:rPr>
          <w:rFonts w:cs="Calibri"/>
        </w:rPr>
        <w:t xml:space="preserve">, J., Williams, W., Frampton, I., Yates, P., Wall, S., and Slater, A. (2008). Reading emotions after childhood brain injury: case series evidence of dissociation between cognitive abilities and emotional expression processing skills. Brain </w:t>
      </w:r>
      <w:proofErr w:type="spellStart"/>
      <w:r w:rsidRPr="0049532E">
        <w:rPr>
          <w:rFonts w:cs="Calibri"/>
        </w:rPr>
        <w:t>Inj</w:t>
      </w:r>
      <w:proofErr w:type="spellEnd"/>
      <w:r w:rsidRPr="0049532E">
        <w:rPr>
          <w:rFonts w:cs="Calibri"/>
        </w:rPr>
        <w:t xml:space="preserve"> 22(4), 325-332.</w:t>
      </w:r>
    </w:p>
    <w:p w:rsidR="00D9505F" w:rsidRDefault="007D6F36" w:rsidP="00A133F4">
      <w:pPr>
        <w:pStyle w:val="Heading2"/>
      </w:pPr>
      <w:r>
        <w:br w:type="page"/>
      </w:r>
      <w:r w:rsidR="00D9505F" w:rsidRPr="00D9505F">
        <w:lastRenderedPageBreak/>
        <w:t xml:space="preserve">Video Social Inference Test (VSIT) </w:t>
      </w:r>
    </w:p>
    <w:p w:rsidR="0089414D" w:rsidRPr="007D6F36" w:rsidRDefault="0089414D" w:rsidP="00A133F4">
      <w:pPr>
        <w:pStyle w:val="Heading3"/>
      </w:pPr>
      <w:r w:rsidRPr="007D6F36">
        <w:t>DESCRIPTION</w:t>
      </w:r>
    </w:p>
    <w:p w:rsidR="00D9505F" w:rsidRPr="00F514F4" w:rsidRDefault="00F514F4" w:rsidP="00787572">
      <w:pPr>
        <w:spacing w:after="120"/>
        <w:rPr>
          <w:rFonts w:cs="Calibri"/>
        </w:rPr>
      </w:pPr>
      <w:r w:rsidRPr="00F514F4">
        <w:rPr>
          <w:rFonts w:cs="Calibri"/>
        </w:rPr>
        <w:t>In the VSIT, the subject is presented with video vignettes and must respond to questions about the social interactions with occurred. This assesses the subject’s ability to make social inferences, such as detecting sarcasm and identifying aberrant social behavior. It has been used in adolescents and adults with TBI.</w:t>
      </w:r>
    </w:p>
    <w:p w:rsidR="00787572" w:rsidRDefault="00787572" w:rsidP="00A133F4">
      <w:pPr>
        <w:pStyle w:val="Heading3"/>
      </w:pPr>
      <w:r w:rsidRPr="005463F4">
        <w:t xml:space="preserve">PERMISSIBLE VALUES </w:t>
      </w:r>
    </w:p>
    <w:p w:rsidR="00D9505F" w:rsidRPr="00F514F4" w:rsidRDefault="00D9505F" w:rsidP="00787572">
      <w:pPr>
        <w:spacing w:after="120"/>
        <w:rPr>
          <w:rFonts w:cs="Calibri"/>
        </w:rPr>
      </w:pPr>
      <w:r w:rsidRPr="00F514F4">
        <w:rPr>
          <w:rFonts w:cs="Calibri"/>
        </w:rPr>
        <w:t>Scores are given for (1) the number of correct social inferences on the first item in each pair (maximum of 16), (2) the number of correct inferences for the items requiring an immediate prediction (maximum of 8) and (3) the number of correct inferences for items requiring a delayed prediction (maximum of 8).</w:t>
      </w:r>
    </w:p>
    <w:p w:rsidR="00787572" w:rsidRPr="00F514F4" w:rsidRDefault="00787572" w:rsidP="00A133F4">
      <w:pPr>
        <w:pStyle w:val="Heading3"/>
      </w:pPr>
      <w:r w:rsidRPr="00F514F4">
        <w:t xml:space="preserve">PROCEDURES </w:t>
      </w:r>
    </w:p>
    <w:p w:rsidR="00D9505F" w:rsidRPr="00F514F4" w:rsidRDefault="00D9505F" w:rsidP="00787572">
      <w:pPr>
        <w:rPr>
          <w:rFonts w:cs="Calibri"/>
        </w:rPr>
      </w:pPr>
      <w:r w:rsidRPr="00F514F4">
        <w:rPr>
          <w:rFonts w:cs="Calibri"/>
        </w:rPr>
        <w:t xml:space="preserve">The subject views 16 </w:t>
      </w:r>
      <w:proofErr w:type="gramStart"/>
      <w:r w:rsidRPr="00F514F4">
        <w:rPr>
          <w:rFonts w:cs="Calibri"/>
        </w:rPr>
        <w:t>pairs</w:t>
      </w:r>
      <w:proofErr w:type="gramEnd"/>
      <w:r w:rsidRPr="00F514F4">
        <w:rPr>
          <w:rFonts w:cs="Calibri"/>
        </w:rPr>
        <w:t xml:space="preserve"> video vignettes of conversations between two people on a computer, each less than 30 seconds in length, and responds to questions.</w:t>
      </w:r>
    </w:p>
    <w:p w:rsidR="00787572" w:rsidRDefault="00787572" w:rsidP="00A133F4">
      <w:pPr>
        <w:pStyle w:val="Heading3"/>
      </w:pPr>
      <w:r w:rsidRPr="005463F4">
        <w:t>COMMENTS</w:t>
      </w:r>
    </w:p>
    <w:p w:rsidR="00D9505F" w:rsidRPr="00F514F4" w:rsidRDefault="00D9505F" w:rsidP="00787572">
      <w:pPr>
        <w:spacing w:after="120"/>
        <w:rPr>
          <w:rFonts w:cs="Calibri"/>
        </w:rPr>
      </w:pPr>
      <w:r w:rsidRPr="00F514F4">
        <w:rPr>
          <w:rFonts w:cs="Calibri"/>
        </w:rPr>
        <w:t>The test was developed for use in adolescents and young adults.</w:t>
      </w:r>
    </w:p>
    <w:p w:rsidR="00787572" w:rsidRDefault="00787572" w:rsidP="00A133F4">
      <w:pPr>
        <w:pStyle w:val="Heading3"/>
      </w:pPr>
      <w:r w:rsidRPr="005463F4">
        <w:t>RATIONALE</w:t>
      </w:r>
    </w:p>
    <w:p w:rsidR="00D9505F" w:rsidRPr="00F514F4" w:rsidRDefault="00F514F4" w:rsidP="00787572">
      <w:pPr>
        <w:spacing w:after="120"/>
        <w:rPr>
          <w:rFonts w:cs="Calibri"/>
        </w:rPr>
      </w:pPr>
      <w:r w:rsidRPr="00F514F4">
        <w:rPr>
          <w:rFonts w:cs="Calibri"/>
        </w:rPr>
        <w:t>“</w:t>
      </w:r>
      <w:r w:rsidR="00D9505F" w:rsidRPr="00F514F4">
        <w:rPr>
          <w:rFonts w:cs="Calibri"/>
        </w:rPr>
        <w:t>Social cognitive functions, including emotion recognition, are increasingly recognized as factors in psychosocial outcome studies of typically developing children and adults.</w:t>
      </w:r>
      <w:r w:rsidRPr="00F514F4">
        <w:rPr>
          <w:rFonts w:cs="Calibri"/>
        </w:rPr>
        <w:t>”</w:t>
      </w:r>
      <w:r>
        <w:rPr>
          <w:rFonts w:cs="Calibri"/>
        </w:rPr>
        <w:t xml:space="preserve"> – McCauley et al. 2012</w:t>
      </w:r>
    </w:p>
    <w:p w:rsidR="00787572" w:rsidRDefault="00A133F4" w:rsidP="00A133F4">
      <w:pPr>
        <w:pStyle w:val="Heading3"/>
      </w:pPr>
      <w:r>
        <w:t>REFERENCES</w:t>
      </w:r>
    </w:p>
    <w:p w:rsidR="00D9505F" w:rsidRPr="00F514F4" w:rsidRDefault="00D9505F" w:rsidP="00D9505F">
      <w:pPr>
        <w:spacing w:after="120"/>
        <w:rPr>
          <w:rFonts w:cs="Calibri"/>
        </w:rPr>
      </w:pPr>
      <w:proofErr w:type="spellStart"/>
      <w:r w:rsidRPr="00F514F4">
        <w:rPr>
          <w:rFonts w:cs="Calibri"/>
        </w:rPr>
        <w:t>Turkstra</w:t>
      </w:r>
      <w:proofErr w:type="spellEnd"/>
      <w:r w:rsidRPr="00F514F4">
        <w:rPr>
          <w:rFonts w:cs="Calibri"/>
        </w:rPr>
        <w:t xml:space="preserve">, L. (2008). Conversation-based assessment of social cognition in adults with traumatic brain injury. Brain </w:t>
      </w:r>
      <w:proofErr w:type="spellStart"/>
      <w:r w:rsidRPr="00F514F4">
        <w:rPr>
          <w:rFonts w:cs="Calibri"/>
        </w:rPr>
        <w:t>Inj</w:t>
      </w:r>
      <w:proofErr w:type="spellEnd"/>
      <w:r w:rsidRPr="00F514F4">
        <w:rPr>
          <w:rFonts w:cs="Calibri"/>
        </w:rPr>
        <w:t xml:space="preserve"> 22(5), 397-409.</w:t>
      </w:r>
    </w:p>
    <w:p w:rsidR="00D9505F" w:rsidRPr="00F514F4" w:rsidRDefault="00D9505F" w:rsidP="00D9505F">
      <w:pPr>
        <w:spacing w:after="120"/>
        <w:rPr>
          <w:rFonts w:cs="Calibri"/>
        </w:rPr>
      </w:pPr>
      <w:proofErr w:type="spellStart"/>
      <w:r w:rsidRPr="00F514F4">
        <w:rPr>
          <w:rFonts w:cs="Calibri"/>
        </w:rPr>
        <w:t>Stronach</w:t>
      </w:r>
      <w:proofErr w:type="spellEnd"/>
      <w:r w:rsidRPr="00F514F4">
        <w:rPr>
          <w:rFonts w:cs="Calibri"/>
        </w:rPr>
        <w:t xml:space="preserve">, S., and </w:t>
      </w:r>
      <w:proofErr w:type="spellStart"/>
      <w:r w:rsidRPr="00F514F4">
        <w:rPr>
          <w:rFonts w:cs="Calibri"/>
        </w:rPr>
        <w:t>Turkstra</w:t>
      </w:r>
      <w:proofErr w:type="spellEnd"/>
      <w:r w:rsidRPr="00F514F4">
        <w:rPr>
          <w:rFonts w:cs="Calibri"/>
        </w:rPr>
        <w:t xml:space="preserve">, L. (2008). Theory of mind and use of cognitive state terms by adolescents with traumatic brain injury. </w:t>
      </w:r>
      <w:proofErr w:type="spellStart"/>
      <w:r w:rsidRPr="00F514F4">
        <w:rPr>
          <w:rFonts w:cs="Calibri"/>
        </w:rPr>
        <w:t>Aphasiology</w:t>
      </w:r>
      <w:proofErr w:type="spellEnd"/>
      <w:r w:rsidRPr="00F514F4">
        <w:rPr>
          <w:rFonts w:cs="Calibri"/>
        </w:rPr>
        <w:t xml:space="preserve"> 22(10), 1054-1070.</w:t>
      </w:r>
    </w:p>
    <w:p w:rsidR="00D9505F" w:rsidRPr="00F514F4" w:rsidRDefault="00D9505F" w:rsidP="00D9505F">
      <w:pPr>
        <w:spacing w:after="120"/>
        <w:rPr>
          <w:rFonts w:cs="Calibri"/>
        </w:rPr>
      </w:pPr>
      <w:proofErr w:type="spellStart"/>
      <w:r w:rsidRPr="00F514F4">
        <w:rPr>
          <w:rFonts w:cs="Calibri"/>
        </w:rPr>
        <w:t>Turkstra</w:t>
      </w:r>
      <w:proofErr w:type="spellEnd"/>
      <w:r w:rsidRPr="00F514F4">
        <w:rPr>
          <w:rFonts w:cs="Calibri"/>
        </w:rPr>
        <w:t xml:space="preserve">, L., McDonald, S., and </w:t>
      </w:r>
      <w:proofErr w:type="spellStart"/>
      <w:r w:rsidRPr="00F514F4">
        <w:rPr>
          <w:rFonts w:cs="Calibri"/>
        </w:rPr>
        <w:t>DePompei</w:t>
      </w:r>
      <w:proofErr w:type="spellEnd"/>
      <w:r w:rsidRPr="00F514F4">
        <w:rPr>
          <w:rFonts w:cs="Calibri"/>
        </w:rPr>
        <w:t>, R. (2001). Social information processing in</w:t>
      </w:r>
    </w:p>
    <w:p w:rsidR="00D9505F" w:rsidRPr="00F514F4" w:rsidRDefault="00D9505F" w:rsidP="00D9505F">
      <w:pPr>
        <w:spacing w:after="120"/>
        <w:rPr>
          <w:rFonts w:cs="Calibri"/>
        </w:rPr>
      </w:pPr>
      <w:proofErr w:type="gramStart"/>
      <w:r w:rsidRPr="00F514F4">
        <w:rPr>
          <w:rFonts w:cs="Calibri"/>
        </w:rPr>
        <w:t>adolescents</w:t>
      </w:r>
      <w:proofErr w:type="gramEnd"/>
      <w:r w:rsidRPr="00F514F4">
        <w:rPr>
          <w:rFonts w:cs="Calibri"/>
        </w:rPr>
        <w:t xml:space="preserve">: data from normally developing adolescents and preliminary data from their peers with traumatic brain injury. J Head Trauma </w:t>
      </w:r>
      <w:proofErr w:type="spellStart"/>
      <w:r w:rsidRPr="00F514F4">
        <w:rPr>
          <w:rFonts w:cs="Calibri"/>
        </w:rPr>
        <w:t>Rehabil</w:t>
      </w:r>
      <w:proofErr w:type="spellEnd"/>
      <w:r w:rsidRPr="00F514F4">
        <w:rPr>
          <w:rFonts w:cs="Calibri"/>
        </w:rPr>
        <w:t xml:space="preserve"> 16(5), 469-483.</w:t>
      </w:r>
    </w:p>
    <w:p w:rsidR="00D9505F" w:rsidRPr="00F514F4" w:rsidRDefault="00D9505F" w:rsidP="00D9505F">
      <w:pPr>
        <w:spacing w:after="120"/>
        <w:rPr>
          <w:rFonts w:cs="Calibri"/>
        </w:rPr>
      </w:pPr>
      <w:proofErr w:type="spellStart"/>
      <w:r w:rsidRPr="00F514F4">
        <w:rPr>
          <w:rFonts w:cs="Calibri"/>
        </w:rPr>
        <w:t>Turkstra</w:t>
      </w:r>
      <w:proofErr w:type="spellEnd"/>
      <w:r w:rsidRPr="00F514F4">
        <w:rPr>
          <w:rFonts w:cs="Calibri"/>
        </w:rPr>
        <w:t xml:space="preserve">, L., Williams, W., </w:t>
      </w:r>
      <w:proofErr w:type="spellStart"/>
      <w:r w:rsidRPr="00F514F4">
        <w:rPr>
          <w:rFonts w:cs="Calibri"/>
        </w:rPr>
        <w:t>Tonks</w:t>
      </w:r>
      <w:proofErr w:type="spellEnd"/>
      <w:r w:rsidRPr="00F514F4">
        <w:rPr>
          <w:rFonts w:cs="Calibri"/>
        </w:rPr>
        <w:t xml:space="preserve">, J., and Frampton, I. (2008). Measuring social cognition in adolescents: Implications for students with TBI returning to school. </w:t>
      </w:r>
      <w:proofErr w:type="spellStart"/>
      <w:r w:rsidRPr="00F514F4">
        <w:rPr>
          <w:rFonts w:cs="Calibri"/>
        </w:rPr>
        <w:t>NeuroRehabilitation</w:t>
      </w:r>
      <w:proofErr w:type="spellEnd"/>
      <w:r w:rsidRPr="00F514F4">
        <w:rPr>
          <w:rFonts w:cs="Calibri"/>
        </w:rPr>
        <w:t xml:space="preserve"> 23(6), 501-509.</w:t>
      </w:r>
    </w:p>
    <w:sectPr w:rsidR="00D9505F" w:rsidRPr="00F514F4" w:rsidSect="00B5027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190" w:rsidRDefault="006B1190" w:rsidP="003256BA">
      <w:pPr>
        <w:spacing w:after="0" w:line="240" w:lineRule="auto"/>
      </w:pPr>
      <w:r>
        <w:separator/>
      </w:r>
    </w:p>
  </w:endnote>
  <w:endnote w:type="continuationSeparator" w:id="0">
    <w:p w:rsidR="006B1190" w:rsidRDefault="006B1190" w:rsidP="0032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F36" w:rsidRDefault="00A133F4" w:rsidP="00A133F4">
    <w:pPr>
      <w:pStyle w:val="Footer"/>
      <w:tabs>
        <w:tab w:val="clear" w:pos="4680"/>
      </w:tabs>
    </w:pPr>
    <w:r>
      <w:t xml:space="preserve">TBI CDE </w:t>
    </w:r>
    <w:proofErr w:type="spellStart"/>
    <w:r>
      <w:t>Versin</w:t>
    </w:r>
    <w:proofErr w:type="spellEnd"/>
    <w:r>
      <w:t xml:space="preserve"> 2.0</w:t>
    </w:r>
    <w:r>
      <w:tab/>
      <w:t xml:space="preserve">Page </w:t>
    </w:r>
    <w:r>
      <w:rPr>
        <w:b/>
        <w:bCs/>
      </w:rPr>
      <w:fldChar w:fldCharType="begin"/>
    </w:r>
    <w:r>
      <w:rPr>
        <w:b/>
        <w:bCs/>
      </w:rPr>
      <w:instrText xml:space="preserve"> PAGE  \* Arabic  \* MERGEFORMAT </w:instrText>
    </w:r>
    <w:r>
      <w:rPr>
        <w:b/>
        <w:bCs/>
      </w:rPr>
      <w:fldChar w:fldCharType="separate"/>
    </w:r>
    <w:r w:rsidR="00927F33">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27F33">
      <w:rPr>
        <w:b/>
        <w:bCs/>
        <w:noProof/>
      </w:rPr>
      <w:t>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190" w:rsidRDefault="006B1190" w:rsidP="003256BA">
      <w:pPr>
        <w:spacing w:after="0" w:line="240" w:lineRule="auto"/>
      </w:pPr>
      <w:r>
        <w:separator/>
      </w:r>
    </w:p>
  </w:footnote>
  <w:footnote w:type="continuationSeparator" w:id="0">
    <w:p w:rsidR="006B1190" w:rsidRDefault="006B1190" w:rsidP="00325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3F4" w:rsidRPr="00A133F4" w:rsidRDefault="00A133F4" w:rsidP="00A133F4">
    <w:pPr>
      <w:pStyle w:val="Heading1"/>
    </w:pPr>
    <w:r w:rsidRPr="00A133F4">
      <w:t>Traumatic Brain Injury (TBI) Common Data Element (CDE)</w:t>
    </w:r>
  </w:p>
  <w:p w:rsidR="00A133F4" w:rsidRPr="00A133F4" w:rsidRDefault="00A133F4" w:rsidP="00A133F4">
    <w:pPr>
      <w:pStyle w:val="Heading1"/>
    </w:pPr>
    <w:r w:rsidRPr="00A133F4">
      <w:t>Outcome Measure Recommendations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EB4"/>
    <w:multiLevelType w:val="hybridMultilevel"/>
    <w:tmpl w:val="51EE9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07DA4"/>
    <w:multiLevelType w:val="multilevel"/>
    <w:tmpl w:val="BB9852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905A35"/>
    <w:multiLevelType w:val="hybridMultilevel"/>
    <w:tmpl w:val="3A402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14476"/>
    <w:multiLevelType w:val="hybridMultilevel"/>
    <w:tmpl w:val="33629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771130"/>
    <w:multiLevelType w:val="hybridMultilevel"/>
    <w:tmpl w:val="B5ECD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A47F50"/>
    <w:multiLevelType w:val="hybridMultilevel"/>
    <w:tmpl w:val="CFC8C4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F43A2"/>
    <w:multiLevelType w:val="hybridMultilevel"/>
    <w:tmpl w:val="F0523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8E72F7"/>
    <w:multiLevelType w:val="hybridMultilevel"/>
    <w:tmpl w:val="E55A5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EE14FD"/>
    <w:multiLevelType w:val="hybridMultilevel"/>
    <w:tmpl w:val="5A249D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AA3F97"/>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DA570C"/>
    <w:multiLevelType w:val="hybridMultilevel"/>
    <w:tmpl w:val="3376B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420597"/>
    <w:multiLevelType w:val="hybridMultilevel"/>
    <w:tmpl w:val="9D789D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61673F"/>
    <w:multiLevelType w:val="hybridMultilevel"/>
    <w:tmpl w:val="5A48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825C5A"/>
    <w:multiLevelType w:val="hybridMultilevel"/>
    <w:tmpl w:val="4404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C9224B"/>
    <w:multiLevelType w:val="multilevel"/>
    <w:tmpl w:val="798E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4F18D2"/>
    <w:multiLevelType w:val="multilevel"/>
    <w:tmpl w:val="AB0A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802AC9"/>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C02253"/>
    <w:multiLevelType w:val="hybridMultilevel"/>
    <w:tmpl w:val="970069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396B9A"/>
    <w:multiLevelType w:val="hybridMultilevel"/>
    <w:tmpl w:val="898C5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EA5272"/>
    <w:multiLevelType w:val="hybridMultilevel"/>
    <w:tmpl w:val="62C47512"/>
    <w:lvl w:ilvl="0" w:tplc="BD584FA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010DBF"/>
    <w:multiLevelType w:val="hybridMultilevel"/>
    <w:tmpl w:val="1B167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747C42"/>
    <w:multiLevelType w:val="hybridMultilevel"/>
    <w:tmpl w:val="7610A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561820"/>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7205FB"/>
    <w:multiLevelType w:val="hybridMultilevel"/>
    <w:tmpl w:val="AA7C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4541D6"/>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DA1CD1"/>
    <w:multiLevelType w:val="hybridMultilevel"/>
    <w:tmpl w:val="6A2C75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97341B"/>
    <w:multiLevelType w:val="hybridMultilevel"/>
    <w:tmpl w:val="C596B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9D6B2B"/>
    <w:multiLevelType w:val="multilevel"/>
    <w:tmpl w:val="1BC6F6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B85BE9"/>
    <w:multiLevelType w:val="hybridMultilevel"/>
    <w:tmpl w:val="73CA9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27"/>
  </w:num>
  <w:num w:numId="4">
    <w:abstractNumId w:val="10"/>
  </w:num>
  <w:num w:numId="5">
    <w:abstractNumId w:val="24"/>
  </w:num>
  <w:num w:numId="6">
    <w:abstractNumId w:val="19"/>
  </w:num>
  <w:num w:numId="7">
    <w:abstractNumId w:val="22"/>
  </w:num>
  <w:num w:numId="8">
    <w:abstractNumId w:val="9"/>
  </w:num>
  <w:num w:numId="9">
    <w:abstractNumId w:val="16"/>
  </w:num>
  <w:num w:numId="10">
    <w:abstractNumId w:val="23"/>
  </w:num>
  <w:num w:numId="11">
    <w:abstractNumId w:val="12"/>
  </w:num>
  <w:num w:numId="12">
    <w:abstractNumId w:val="2"/>
  </w:num>
  <w:num w:numId="13">
    <w:abstractNumId w:val="4"/>
  </w:num>
  <w:num w:numId="14">
    <w:abstractNumId w:val="13"/>
  </w:num>
  <w:num w:numId="15">
    <w:abstractNumId w:val="20"/>
  </w:num>
  <w:num w:numId="16">
    <w:abstractNumId w:val="11"/>
  </w:num>
  <w:num w:numId="17">
    <w:abstractNumId w:val="26"/>
  </w:num>
  <w:num w:numId="18">
    <w:abstractNumId w:val="28"/>
  </w:num>
  <w:num w:numId="19">
    <w:abstractNumId w:val="17"/>
  </w:num>
  <w:num w:numId="20">
    <w:abstractNumId w:val="3"/>
  </w:num>
  <w:num w:numId="21">
    <w:abstractNumId w:val="8"/>
  </w:num>
  <w:num w:numId="22">
    <w:abstractNumId w:val="5"/>
  </w:num>
  <w:num w:numId="23">
    <w:abstractNumId w:val="6"/>
  </w:num>
  <w:num w:numId="24">
    <w:abstractNumId w:val="7"/>
  </w:num>
  <w:num w:numId="25">
    <w:abstractNumId w:val="21"/>
  </w:num>
  <w:num w:numId="26">
    <w:abstractNumId w:val="18"/>
  </w:num>
  <w:num w:numId="27">
    <w:abstractNumId w:val="25"/>
  </w:num>
  <w:num w:numId="28">
    <w:abstractNumId w:val="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2DF"/>
    <w:rsid w:val="00005423"/>
    <w:rsid w:val="000166F1"/>
    <w:rsid w:val="00036648"/>
    <w:rsid w:val="000473F2"/>
    <w:rsid w:val="00067485"/>
    <w:rsid w:val="00076AFD"/>
    <w:rsid w:val="000923C6"/>
    <w:rsid w:val="000C103F"/>
    <w:rsid w:val="000C3A0F"/>
    <w:rsid w:val="000C677D"/>
    <w:rsid w:val="000D0D8A"/>
    <w:rsid w:val="000E4D62"/>
    <w:rsid w:val="001026B5"/>
    <w:rsid w:val="00105870"/>
    <w:rsid w:val="00113154"/>
    <w:rsid w:val="00122E67"/>
    <w:rsid w:val="00133519"/>
    <w:rsid w:val="00137957"/>
    <w:rsid w:val="00151EE1"/>
    <w:rsid w:val="00186B84"/>
    <w:rsid w:val="001A1472"/>
    <w:rsid w:val="001B190F"/>
    <w:rsid w:val="001C3A62"/>
    <w:rsid w:val="001C40A8"/>
    <w:rsid w:val="001D4F0B"/>
    <w:rsid w:val="00201DB9"/>
    <w:rsid w:val="0022540E"/>
    <w:rsid w:val="0023143B"/>
    <w:rsid w:val="00233D73"/>
    <w:rsid w:val="00257409"/>
    <w:rsid w:val="0026399F"/>
    <w:rsid w:val="0026667A"/>
    <w:rsid w:val="00272AF0"/>
    <w:rsid w:val="00272FD0"/>
    <w:rsid w:val="002772D0"/>
    <w:rsid w:val="00283B0C"/>
    <w:rsid w:val="00294AB9"/>
    <w:rsid w:val="002A76D8"/>
    <w:rsid w:val="002B2DCC"/>
    <w:rsid w:val="002C18AD"/>
    <w:rsid w:val="002E0240"/>
    <w:rsid w:val="002F045A"/>
    <w:rsid w:val="002F1040"/>
    <w:rsid w:val="002F3540"/>
    <w:rsid w:val="003017B7"/>
    <w:rsid w:val="00303377"/>
    <w:rsid w:val="00303E08"/>
    <w:rsid w:val="0032333B"/>
    <w:rsid w:val="003256BA"/>
    <w:rsid w:val="00331FE7"/>
    <w:rsid w:val="00362150"/>
    <w:rsid w:val="003632F5"/>
    <w:rsid w:val="0038142D"/>
    <w:rsid w:val="00390AFC"/>
    <w:rsid w:val="00397664"/>
    <w:rsid w:val="003A10E2"/>
    <w:rsid w:val="003A684C"/>
    <w:rsid w:val="003A71F0"/>
    <w:rsid w:val="003C1198"/>
    <w:rsid w:val="003C5959"/>
    <w:rsid w:val="003D1229"/>
    <w:rsid w:val="003D1E85"/>
    <w:rsid w:val="003E5EEC"/>
    <w:rsid w:val="003E6CB2"/>
    <w:rsid w:val="003F48E0"/>
    <w:rsid w:val="00407ED8"/>
    <w:rsid w:val="00412771"/>
    <w:rsid w:val="00416C28"/>
    <w:rsid w:val="00425DCE"/>
    <w:rsid w:val="00431050"/>
    <w:rsid w:val="00436F2C"/>
    <w:rsid w:val="00440B65"/>
    <w:rsid w:val="00446D34"/>
    <w:rsid w:val="00451F71"/>
    <w:rsid w:val="00472EB4"/>
    <w:rsid w:val="0049532E"/>
    <w:rsid w:val="004A1A0B"/>
    <w:rsid w:val="004A6DFA"/>
    <w:rsid w:val="004A7991"/>
    <w:rsid w:val="004B766F"/>
    <w:rsid w:val="004E73A8"/>
    <w:rsid w:val="005500D8"/>
    <w:rsid w:val="00552A1A"/>
    <w:rsid w:val="0057055B"/>
    <w:rsid w:val="00571C71"/>
    <w:rsid w:val="00575537"/>
    <w:rsid w:val="00577465"/>
    <w:rsid w:val="005779AF"/>
    <w:rsid w:val="00595C38"/>
    <w:rsid w:val="00597B14"/>
    <w:rsid w:val="005A7A94"/>
    <w:rsid w:val="005B751D"/>
    <w:rsid w:val="005D1371"/>
    <w:rsid w:val="005D3954"/>
    <w:rsid w:val="005E172F"/>
    <w:rsid w:val="005F2C7C"/>
    <w:rsid w:val="005F4802"/>
    <w:rsid w:val="0061104A"/>
    <w:rsid w:val="006126F3"/>
    <w:rsid w:val="00635AB2"/>
    <w:rsid w:val="00641332"/>
    <w:rsid w:val="0064276E"/>
    <w:rsid w:val="00656917"/>
    <w:rsid w:val="0066648B"/>
    <w:rsid w:val="006A6ED8"/>
    <w:rsid w:val="006B1190"/>
    <w:rsid w:val="006B58A1"/>
    <w:rsid w:val="006D24E0"/>
    <w:rsid w:val="006F24CB"/>
    <w:rsid w:val="006F327D"/>
    <w:rsid w:val="006F58D1"/>
    <w:rsid w:val="00715490"/>
    <w:rsid w:val="00715E1B"/>
    <w:rsid w:val="0073451E"/>
    <w:rsid w:val="00741C23"/>
    <w:rsid w:val="00747374"/>
    <w:rsid w:val="00747B7F"/>
    <w:rsid w:val="00757EB8"/>
    <w:rsid w:val="00761F5E"/>
    <w:rsid w:val="00787572"/>
    <w:rsid w:val="00792A05"/>
    <w:rsid w:val="0079543B"/>
    <w:rsid w:val="007A1862"/>
    <w:rsid w:val="007A76D2"/>
    <w:rsid w:val="007D6F36"/>
    <w:rsid w:val="00804DA7"/>
    <w:rsid w:val="008122AB"/>
    <w:rsid w:val="0082143F"/>
    <w:rsid w:val="0083461E"/>
    <w:rsid w:val="008351F7"/>
    <w:rsid w:val="00837790"/>
    <w:rsid w:val="00837B36"/>
    <w:rsid w:val="008517B1"/>
    <w:rsid w:val="00865F08"/>
    <w:rsid w:val="008711D5"/>
    <w:rsid w:val="00872036"/>
    <w:rsid w:val="00892BFF"/>
    <w:rsid w:val="0089414D"/>
    <w:rsid w:val="00895CC4"/>
    <w:rsid w:val="00896C1C"/>
    <w:rsid w:val="00897A76"/>
    <w:rsid w:val="008D53AA"/>
    <w:rsid w:val="008E024A"/>
    <w:rsid w:val="008F3218"/>
    <w:rsid w:val="008F563C"/>
    <w:rsid w:val="00915661"/>
    <w:rsid w:val="00927F33"/>
    <w:rsid w:val="00933DE5"/>
    <w:rsid w:val="0095430C"/>
    <w:rsid w:val="00957C3D"/>
    <w:rsid w:val="009877E3"/>
    <w:rsid w:val="00994F6F"/>
    <w:rsid w:val="009D6578"/>
    <w:rsid w:val="009E1610"/>
    <w:rsid w:val="009E2D7C"/>
    <w:rsid w:val="009E37EC"/>
    <w:rsid w:val="009E4116"/>
    <w:rsid w:val="009F3D95"/>
    <w:rsid w:val="00A01395"/>
    <w:rsid w:val="00A10CF4"/>
    <w:rsid w:val="00A113F5"/>
    <w:rsid w:val="00A11547"/>
    <w:rsid w:val="00A133F4"/>
    <w:rsid w:val="00A342B0"/>
    <w:rsid w:val="00A354C6"/>
    <w:rsid w:val="00A4104C"/>
    <w:rsid w:val="00A43D8E"/>
    <w:rsid w:val="00A50916"/>
    <w:rsid w:val="00A57900"/>
    <w:rsid w:val="00A668FE"/>
    <w:rsid w:val="00A771A0"/>
    <w:rsid w:val="00A77ED9"/>
    <w:rsid w:val="00A91A68"/>
    <w:rsid w:val="00A942DF"/>
    <w:rsid w:val="00A97AB3"/>
    <w:rsid w:val="00AC68C0"/>
    <w:rsid w:val="00AD1E81"/>
    <w:rsid w:val="00AD42B7"/>
    <w:rsid w:val="00AE19BF"/>
    <w:rsid w:val="00AE3203"/>
    <w:rsid w:val="00B146A6"/>
    <w:rsid w:val="00B33EFA"/>
    <w:rsid w:val="00B34FCC"/>
    <w:rsid w:val="00B35A36"/>
    <w:rsid w:val="00B37CE3"/>
    <w:rsid w:val="00B50270"/>
    <w:rsid w:val="00B5033C"/>
    <w:rsid w:val="00B55883"/>
    <w:rsid w:val="00B71CE2"/>
    <w:rsid w:val="00B73A48"/>
    <w:rsid w:val="00B74F2C"/>
    <w:rsid w:val="00B808CD"/>
    <w:rsid w:val="00B840F4"/>
    <w:rsid w:val="00B92FE1"/>
    <w:rsid w:val="00BA177D"/>
    <w:rsid w:val="00BB167B"/>
    <w:rsid w:val="00BB28D0"/>
    <w:rsid w:val="00BB797B"/>
    <w:rsid w:val="00BD7D4C"/>
    <w:rsid w:val="00BE295B"/>
    <w:rsid w:val="00C02CD4"/>
    <w:rsid w:val="00C052FC"/>
    <w:rsid w:val="00C1442F"/>
    <w:rsid w:val="00C62E01"/>
    <w:rsid w:val="00C638D1"/>
    <w:rsid w:val="00C657EB"/>
    <w:rsid w:val="00C6740D"/>
    <w:rsid w:val="00C7680E"/>
    <w:rsid w:val="00C80913"/>
    <w:rsid w:val="00C83AC8"/>
    <w:rsid w:val="00C926B3"/>
    <w:rsid w:val="00CC49E5"/>
    <w:rsid w:val="00CD5942"/>
    <w:rsid w:val="00CE6A31"/>
    <w:rsid w:val="00CF3C01"/>
    <w:rsid w:val="00D44C4D"/>
    <w:rsid w:val="00D468A6"/>
    <w:rsid w:val="00D53B0F"/>
    <w:rsid w:val="00D61192"/>
    <w:rsid w:val="00D66C34"/>
    <w:rsid w:val="00D70971"/>
    <w:rsid w:val="00D84A13"/>
    <w:rsid w:val="00D942BF"/>
    <w:rsid w:val="00D9505F"/>
    <w:rsid w:val="00DD6C49"/>
    <w:rsid w:val="00DF5B07"/>
    <w:rsid w:val="00E0090D"/>
    <w:rsid w:val="00E20EB1"/>
    <w:rsid w:val="00E27D43"/>
    <w:rsid w:val="00E41FF2"/>
    <w:rsid w:val="00E51D1C"/>
    <w:rsid w:val="00E53B4C"/>
    <w:rsid w:val="00E712E2"/>
    <w:rsid w:val="00E77BD1"/>
    <w:rsid w:val="00E85E53"/>
    <w:rsid w:val="00EB5061"/>
    <w:rsid w:val="00EF4835"/>
    <w:rsid w:val="00F173F8"/>
    <w:rsid w:val="00F17B5E"/>
    <w:rsid w:val="00F22CE7"/>
    <w:rsid w:val="00F272A0"/>
    <w:rsid w:val="00F407D7"/>
    <w:rsid w:val="00F514F4"/>
    <w:rsid w:val="00F517A6"/>
    <w:rsid w:val="00F6449E"/>
    <w:rsid w:val="00F858AE"/>
    <w:rsid w:val="00FA6A1A"/>
    <w:rsid w:val="00FB29AD"/>
    <w:rsid w:val="00FC3DFE"/>
    <w:rsid w:val="00FD2B2F"/>
    <w:rsid w:val="00FD6879"/>
    <w:rsid w:val="00FE1FF0"/>
    <w:rsid w:val="00FE5182"/>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1E019E2-ECA4-40E8-AC2C-264ABECF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70"/>
    <w:pPr>
      <w:spacing w:after="200" w:line="276" w:lineRule="auto"/>
    </w:pPr>
    <w:rPr>
      <w:sz w:val="22"/>
      <w:szCs w:val="22"/>
    </w:rPr>
  </w:style>
  <w:style w:type="paragraph" w:styleId="Heading1">
    <w:name w:val="heading 1"/>
    <w:basedOn w:val="Normal"/>
    <w:next w:val="Normal"/>
    <w:link w:val="Heading1Char"/>
    <w:uiPriority w:val="9"/>
    <w:qFormat/>
    <w:rsid w:val="00A133F4"/>
    <w:pPr>
      <w:spacing w:after="0"/>
      <w:jc w:val="center"/>
      <w:outlineLvl w:val="0"/>
    </w:pPr>
    <w:rPr>
      <w:rFonts w:cs="Calibri"/>
      <w:b/>
      <w:sz w:val="28"/>
      <w:szCs w:val="28"/>
    </w:rPr>
  </w:style>
  <w:style w:type="paragraph" w:styleId="Heading2">
    <w:name w:val="heading 2"/>
    <w:basedOn w:val="Normal"/>
    <w:next w:val="Normal"/>
    <w:link w:val="Heading2Char"/>
    <w:uiPriority w:val="9"/>
    <w:unhideWhenUsed/>
    <w:qFormat/>
    <w:rsid w:val="00A133F4"/>
    <w:pPr>
      <w:outlineLvl w:val="1"/>
    </w:pPr>
    <w:rPr>
      <w:rFonts w:cs="Calibri"/>
      <w:b/>
      <w:sz w:val="24"/>
    </w:rPr>
  </w:style>
  <w:style w:type="paragraph" w:styleId="Heading3">
    <w:name w:val="heading 3"/>
    <w:basedOn w:val="Normal"/>
    <w:next w:val="Default"/>
    <w:link w:val="Heading3Char"/>
    <w:uiPriority w:val="99"/>
    <w:qFormat/>
    <w:rsid w:val="00A133F4"/>
    <w:pPr>
      <w:outlineLvl w:val="2"/>
    </w:pPr>
    <w:rPr>
      <w:rFonts w:cs="Calibri"/>
      <w:b/>
    </w:rPr>
  </w:style>
  <w:style w:type="paragraph" w:styleId="Heading4">
    <w:name w:val="heading 4"/>
    <w:basedOn w:val="Normal"/>
    <w:next w:val="Normal"/>
    <w:link w:val="Heading4Char"/>
    <w:uiPriority w:val="9"/>
    <w:semiHidden/>
    <w:unhideWhenUsed/>
    <w:qFormat/>
    <w:rsid w:val="0022540E"/>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rnl">
    <w:name w:val="jrnl"/>
    <w:basedOn w:val="DefaultParagraphFont"/>
    <w:rsid w:val="0073451E"/>
  </w:style>
  <w:style w:type="paragraph" w:customStyle="1" w:styleId="Default">
    <w:name w:val="Default"/>
    <w:rsid w:val="002B2DCC"/>
    <w:pPr>
      <w:autoSpaceDE w:val="0"/>
      <w:autoSpaceDN w:val="0"/>
      <w:adjustRightInd w:val="0"/>
    </w:pPr>
    <w:rPr>
      <w:rFonts w:ascii="Times New Roman" w:hAnsi="Times New Roman"/>
      <w:color w:val="000000"/>
      <w:sz w:val="24"/>
      <w:szCs w:val="24"/>
    </w:rPr>
  </w:style>
  <w:style w:type="character" w:customStyle="1" w:styleId="Heading3Char">
    <w:name w:val="Heading 3 Char"/>
    <w:link w:val="Heading3"/>
    <w:uiPriority w:val="99"/>
    <w:rsid w:val="00A133F4"/>
    <w:rPr>
      <w:rFonts w:cs="Calibri"/>
      <w:b/>
      <w:sz w:val="22"/>
      <w:szCs w:val="22"/>
    </w:rPr>
  </w:style>
  <w:style w:type="character" w:styleId="Strong">
    <w:name w:val="Strong"/>
    <w:uiPriority w:val="22"/>
    <w:qFormat/>
    <w:rsid w:val="002B2DCC"/>
    <w:rPr>
      <w:b/>
      <w:bCs/>
    </w:rPr>
  </w:style>
  <w:style w:type="character" w:styleId="Hyperlink">
    <w:name w:val="Hyperlink"/>
    <w:uiPriority w:val="99"/>
    <w:unhideWhenUsed/>
    <w:rsid w:val="00A668FE"/>
    <w:rPr>
      <w:strike w:val="0"/>
      <w:dstrike w:val="0"/>
      <w:color w:val="0000FF"/>
      <w:u w:val="single"/>
      <w:effect w:val="none"/>
    </w:rPr>
  </w:style>
  <w:style w:type="character" w:customStyle="1" w:styleId="ncitalic1">
    <w:name w:val="ncitalic1"/>
    <w:rsid w:val="00A668FE"/>
    <w:rPr>
      <w:i/>
      <w:iCs/>
      <w:color w:val="000000"/>
    </w:rPr>
  </w:style>
  <w:style w:type="character" w:customStyle="1" w:styleId="meta">
    <w:name w:val="meta"/>
    <w:basedOn w:val="DefaultParagraphFont"/>
    <w:rsid w:val="00AD42B7"/>
  </w:style>
  <w:style w:type="character" w:styleId="FollowedHyperlink">
    <w:name w:val="FollowedHyperlink"/>
    <w:uiPriority w:val="99"/>
    <w:semiHidden/>
    <w:unhideWhenUsed/>
    <w:rsid w:val="006F58D1"/>
    <w:rPr>
      <w:color w:val="800080"/>
      <w:u w:val="single"/>
    </w:rPr>
  </w:style>
  <w:style w:type="character" w:customStyle="1" w:styleId="dnnalignleft">
    <w:name w:val="dnnalignleft"/>
    <w:basedOn w:val="DefaultParagraphFont"/>
    <w:rsid w:val="006F58D1"/>
  </w:style>
  <w:style w:type="character" w:customStyle="1" w:styleId="Heading4Char">
    <w:name w:val="Heading 4 Char"/>
    <w:link w:val="Heading4"/>
    <w:uiPriority w:val="9"/>
    <w:semiHidden/>
    <w:rsid w:val="0022540E"/>
    <w:rPr>
      <w:rFonts w:ascii="Calibri" w:eastAsia="Times New Roman" w:hAnsi="Calibri" w:cs="Times New Roman"/>
      <w:b/>
      <w:bCs/>
      <w:sz w:val="28"/>
      <w:szCs w:val="28"/>
    </w:rPr>
  </w:style>
  <w:style w:type="character" w:customStyle="1" w:styleId="ej-j-source">
    <w:name w:val="ej-j-source"/>
    <w:basedOn w:val="DefaultParagraphFont"/>
    <w:rsid w:val="0022540E"/>
  </w:style>
  <w:style w:type="paragraph" w:styleId="NormalWeb">
    <w:name w:val="Normal (Web)"/>
    <w:basedOn w:val="Normal"/>
    <w:uiPriority w:val="99"/>
    <w:semiHidden/>
    <w:unhideWhenUsed/>
    <w:rsid w:val="00331FE7"/>
    <w:pPr>
      <w:spacing w:before="100" w:beforeAutospacing="1" w:after="100" w:afterAutospacing="1" w:line="240" w:lineRule="auto"/>
    </w:pPr>
    <w:rPr>
      <w:rFonts w:ascii="Times New Roman" w:eastAsia="Times New Roman" w:hAnsi="Times New Roman"/>
      <w:sz w:val="24"/>
      <w:szCs w:val="24"/>
    </w:rPr>
  </w:style>
  <w:style w:type="character" w:customStyle="1" w:styleId="citedby">
    <w:name w:val="citedby_"/>
    <w:rsid w:val="00331FE7"/>
    <w:rPr>
      <w:sz w:val="24"/>
      <w:szCs w:val="24"/>
      <w:bdr w:val="none" w:sz="0" w:space="0" w:color="auto" w:frame="1"/>
      <w:vertAlign w:val="baseline"/>
    </w:rPr>
  </w:style>
  <w:style w:type="character" w:styleId="CommentReference">
    <w:name w:val="annotation reference"/>
    <w:uiPriority w:val="99"/>
    <w:semiHidden/>
    <w:unhideWhenUsed/>
    <w:rsid w:val="00D468A6"/>
    <w:rPr>
      <w:sz w:val="16"/>
      <w:szCs w:val="16"/>
    </w:rPr>
  </w:style>
  <w:style w:type="paragraph" w:styleId="CommentText">
    <w:name w:val="annotation text"/>
    <w:basedOn w:val="Normal"/>
    <w:link w:val="CommentTextChar"/>
    <w:uiPriority w:val="99"/>
    <w:semiHidden/>
    <w:unhideWhenUsed/>
    <w:rsid w:val="00D468A6"/>
    <w:rPr>
      <w:sz w:val="20"/>
      <w:szCs w:val="20"/>
    </w:rPr>
  </w:style>
  <w:style w:type="character" w:customStyle="1" w:styleId="CommentTextChar">
    <w:name w:val="Comment Text Char"/>
    <w:basedOn w:val="DefaultParagraphFont"/>
    <w:link w:val="CommentText"/>
    <w:uiPriority w:val="99"/>
    <w:semiHidden/>
    <w:rsid w:val="00D468A6"/>
  </w:style>
  <w:style w:type="paragraph" w:styleId="CommentSubject">
    <w:name w:val="annotation subject"/>
    <w:basedOn w:val="CommentText"/>
    <w:next w:val="CommentText"/>
    <w:link w:val="CommentSubjectChar"/>
    <w:uiPriority w:val="99"/>
    <w:semiHidden/>
    <w:unhideWhenUsed/>
    <w:rsid w:val="00D468A6"/>
    <w:rPr>
      <w:b/>
      <w:bCs/>
    </w:rPr>
  </w:style>
  <w:style w:type="character" w:customStyle="1" w:styleId="CommentSubjectChar">
    <w:name w:val="Comment Subject Char"/>
    <w:link w:val="CommentSubject"/>
    <w:uiPriority w:val="99"/>
    <w:semiHidden/>
    <w:rsid w:val="00D468A6"/>
    <w:rPr>
      <w:b/>
      <w:bCs/>
    </w:rPr>
  </w:style>
  <w:style w:type="paragraph" w:styleId="BalloonText">
    <w:name w:val="Balloon Text"/>
    <w:basedOn w:val="Normal"/>
    <w:link w:val="BalloonTextChar"/>
    <w:uiPriority w:val="99"/>
    <w:semiHidden/>
    <w:unhideWhenUsed/>
    <w:rsid w:val="00D468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68A6"/>
    <w:rPr>
      <w:rFonts w:ascii="Tahoma" w:hAnsi="Tahoma" w:cs="Tahoma"/>
      <w:sz w:val="16"/>
      <w:szCs w:val="16"/>
    </w:rPr>
  </w:style>
  <w:style w:type="paragraph" w:styleId="Header">
    <w:name w:val="header"/>
    <w:basedOn w:val="Normal"/>
    <w:link w:val="HeaderChar"/>
    <w:uiPriority w:val="99"/>
    <w:unhideWhenUsed/>
    <w:rsid w:val="003256BA"/>
    <w:pPr>
      <w:tabs>
        <w:tab w:val="center" w:pos="4680"/>
        <w:tab w:val="right" w:pos="9360"/>
      </w:tabs>
    </w:pPr>
  </w:style>
  <w:style w:type="character" w:customStyle="1" w:styleId="HeaderChar">
    <w:name w:val="Header Char"/>
    <w:link w:val="Header"/>
    <w:uiPriority w:val="99"/>
    <w:rsid w:val="003256BA"/>
    <w:rPr>
      <w:sz w:val="22"/>
      <w:szCs w:val="22"/>
    </w:rPr>
  </w:style>
  <w:style w:type="paragraph" w:styleId="Footer">
    <w:name w:val="footer"/>
    <w:basedOn w:val="Normal"/>
    <w:link w:val="FooterChar"/>
    <w:uiPriority w:val="99"/>
    <w:unhideWhenUsed/>
    <w:rsid w:val="003256BA"/>
    <w:pPr>
      <w:tabs>
        <w:tab w:val="center" w:pos="4680"/>
        <w:tab w:val="right" w:pos="9360"/>
      </w:tabs>
    </w:pPr>
  </w:style>
  <w:style w:type="character" w:customStyle="1" w:styleId="FooterChar">
    <w:name w:val="Footer Char"/>
    <w:link w:val="Footer"/>
    <w:uiPriority w:val="99"/>
    <w:rsid w:val="003256BA"/>
    <w:rPr>
      <w:sz w:val="22"/>
      <w:szCs w:val="22"/>
    </w:rPr>
  </w:style>
  <w:style w:type="paragraph" w:styleId="ListParagraph">
    <w:name w:val="List Paragraph"/>
    <w:basedOn w:val="Normal"/>
    <w:uiPriority w:val="34"/>
    <w:qFormat/>
    <w:rsid w:val="00FD6879"/>
    <w:pPr>
      <w:ind w:left="720"/>
    </w:pPr>
  </w:style>
  <w:style w:type="paragraph" w:styleId="Caption">
    <w:name w:val="caption"/>
    <w:basedOn w:val="Normal"/>
    <w:next w:val="Normal"/>
    <w:uiPriority w:val="35"/>
    <w:unhideWhenUsed/>
    <w:qFormat/>
    <w:rsid w:val="00A133F4"/>
    <w:rPr>
      <w:b/>
      <w:bCs/>
      <w:sz w:val="20"/>
      <w:szCs w:val="20"/>
    </w:rPr>
  </w:style>
  <w:style w:type="character" w:customStyle="1" w:styleId="Heading1Char">
    <w:name w:val="Heading 1 Char"/>
    <w:link w:val="Heading1"/>
    <w:uiPriority w:val="9"/>
    <w:rsid w:val="00A133F4"/>
    <w:rPr>
      <w:rFonts w:cs="Calibri"/>
      <w:b/>
      <w:sz w:val="28"/>
      <w:szCs w:val="28"/>
    </w:rPr>
  </w:style>
  <w:style w:type="character" w:customStyle="1" w:styleId="Heading2Char">
    <w:name w:val="Heading 2 Char"/>
    <w:link w:val="Heading2"/>
    <w:uiPriority w:val="9"/>
    <w:rsid w:val="00A133F4"/>
    <w:rPr>
      <w:rFonts w:cs="Calibri"/>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29947">
      <w:bodyDiv w:val="1"/>
      <w:marLeft w:val="0"/>
      <w:marRight w:val="0"/>
      <w:marTop w:val="0"/>
      <w:marBottom w:val="0"/>
      <w:divBdr>
        <w:top w:val="none" w:sz="0" w:space="0" w:color="auto"/>
        <w:left w:val="none" w:sz="0" w:space="0" w:color="auto"/>
        <w:bottom w:val="none" w:sz="0" w:space="0" w:color="auto"/>
        <w:right w:val="none" w:sz="0" w:space="0" w:color="auto"/>
      </w:divBdr>
    </w:div>
    <w:div w:id="339814084">
      <w:bodyDiv w:val="1"/>
      <w:marLeft w:val="0"/>
      <w:marRight w:val="0"/>
      <w:marTop w:val="0"/>
      <w:marBottom w:val="0"/>
      <w:divBdr>
        <w:top w:val="none" w:sz="0" w:space="0" w:color="auto"/>
        <w:left w:val="none" w:sz="0" w:space="0" w:color="auto"/>
        <w:bottom w:val="none" w:sz="0" w:space="0" w:color="auto"/>
        <w:right w:val="none" w:sz="0" w:space="0" w:color="auto"/>
      </w:divBdr>
      <w:divsChild>
        <w:div w:id="1592424453">
          <w:marLeft w:val="0"/>
          <w:marRight w:val="0"/>
          <w:marTop w:val="0"/>
          <w:marBottom w:val="0"/>
          <w:divBdr>
            <w:top w:val="none" w:sz="0" w:space="0" w:color="auto"/>
            <w:left w:val="none" w:sz="0" w:space="0" w:color="auto"/>
            <w:bottom w:val="none" w:sz="0" w:space="0" w:color="auto"/>
            <w:right w:val="none" w:sz="0" w:space="0" w:color="auto"/>
          </w:divBdr>
          <w:divsChild>
            <w:div w:id="65735613">
              <w:marLeft w:val="0"/>
              <w:marRight w:val="0"/>
              <w:marTop w:val="0"/>
              <w:marBottom w:val="0"/>
              <w:divBdr>
                <w:top w:val="none" w:sz="0" w:space="0" w:color="auto"/>
                <w:left w:val="none" w:sz="0" w:space="0" w:color="auto"/>
                <w:bottom w:val="none" w:sz="0" w:space="0" w:color="auto"/>
                <w:right w:val="none" w:sz="0" w:space="0" w:color="auto"/>
              </w:divBdr>
              <w:divsChild>
                <w:div w:id="1957979403">
                  <w:marLeft w:val="0"/>
                  <w:marRight w:val="0"/>
                  <w:marTop w:val="0"/>
                  <w:marBottom w:val="0"/>
                  <w:divBdr>
                    <w:top w:val="none" w:sz="0" w:space="0" w:color="auto"/>
                    <w:left w:val="none" w:sz="0" w:space="0" w:color="auto"/>
                    <w:bottom w:val="none" w:sz="0" w:space="0" w:color="auto"/>
                    <w:right w:val="none" w:sz="0" w:space="0" w:color="auto"/>
                  </w:divBdr>
                  <w:divsChild>
                    <w:div w:id="1667857480">
                      <w:marLeft w:val="0"/>
                      <w:marRight w:val="0"/>
                      <w:marTop w:val="0"/>
                      <w:marBottom w:val="0"/>
                      <w:divBdr>
                        <w:top w:val="none" w:sz="0" w:space="0" w:color="auto"/>
                        <w:left w:val="none" w:sz="0" w:space="0" w:color="auto"/>
                        <w:bottom w:val="none" w:sz="0" w:space="0" w:color="auto"/>
                        <w:right w:val="none" w:sz="0" w:space="0" w:color="auto"/>
                      </w:divBdr>
                      <w:divsChild>
                        <w:div w:id="1685590607">
                          <w:marLeft w:val="0"/>
                          <w:marRight w:val="0"/>
                          <w:marTop w:val="0"/>
                          <w:marBottom w:val="0"/>
                          <w:divBdr>
                            <w:top w:val="none" w:sz="0" w:space="0" w:color="auto"/>
                            <w:left w:val="none" w:sz="0" w:space="0" w:color="auto"/>
                            <w:bottom w:val="none" w:sz="0" w:space="0" w:color="auto"/>
                            <w:right w:val="none" w:sz="0" w:space="0" w:color="auto"/>
                          </w:divBdr>
                          <w:divsChild>
                            <w:div w:id="1873111931">
                              <w:marLeft w:val="0"/>
                              <w:marRight w:val="0"/>
                              <w:marTop w:val="0"/>
                              <w:marBottom w:val="0"/>
                              <w:divBdr>
                                <w:top w:val="none" w:sz="0" w:space="0" w:color="auto"/>
                                <w:left w:val="none" w:sz="0" w:space="0" w:color="auto"/>
                                <w:bottom w:val="none" w:sz="0" w:space="0" w:color="auto"/>
                                <w:right w:val="none" w:sz="0" w:space="0" w:color="auto"/>
                              </w:divBdr>
                              <w:divsChild>
                                <w:div w:id="957875617">
                                  <w:marLeft w:val="0"/>
                                  <w:marRight w:val="0"/>
                                  <w:marTop w:val="0"/>
                                  <w:marBottom w:val="0"/>
                                  <w:divBdr>
                                    <w:top w:val="none" w:sz="0" w:space="0" w:color="auto"/>
                                    <w:left w:val="none" w:sz="0" w:space="0" w:color="auto"/>
                                    <w:bottom w:val="none" w:sz="0" w:space="0" w:color="auto"/>
                                    <w:right w:val="none" w:sz="0" w:space="0" w:color="auto"/>
                                  </w:divBdr>
                                  <w:divsChild>
                                    <w:div w:id="1471288673">
                                      <w:marLeft w:val="0"/>
                                      <w:marRight w:val="0"/>
                                      <w:marTop w:val="0"/>
                                      <w:marBottom w:val="0"/>
                                      <w:divBdr>
                                        <w:top w:val="none" w:sz="0" w:space="0" w:color="auto"/>
                                        <w:left w:val="none" w:sz="0" w:space="0" w:color="auto"/>
                                        <w:bottom w:val="none" w:sz="0" w:space="0" w:color="auto"/>
                                        <w:right w:val="none" w:sz="0" w:space="0" w:color="auto"/>
                                      </w:divBdr>
                                      <w:divsChild>
                                        <w:div w:id="596137425">
                                          <w:marLeft w:val="0"/>
                                          <w:marRight w:val="0"/>
                                          <w:marTop w:val="0"/>
                                          <w:marBottom w:val="0"/>
                                          <w:divBdr>
                                            <w:top w:val="none" w:sz="0" w:space="0" w:color="auto"/>
                                            <w:left w:val="none" w:sz="0" w:space="0" w:color="auto"/>
                                            <w:bottom w:val="none" w:sz="0" w:space="0" w:color="auto"/>
                                            <w:right w:val="none" w:sz="0" w:space="0" w:color="auto"/>
                                          </w:divBdr>
                                          <w:divsChild>
                                            <w:div w:id="11166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61282">
      <w:bodyDiv w:val="1"/>
      <w:marLeft w:val="0"/>
      <w:marRight w:val="0"/>
      <w:marTop w:val="0"/>
      <w:marBottom w:val="0"/>
      <w:divBdr>
        <w:top w:val="none" w:sz="0" w:space="0" w:color="auto"/>
        <w:left w:val="none" w:sz="0" w:space="0" w:color="auto"/>
        <w:bottom w:val="none" w:sz="0" w:space="0" w:color="auto"/>
        <w:right w:val="none" w:sz="0" w:space="0" w:color="auto"/>
      </w:divBdr>
      <w:divsChild>
        <w:div w:id="230510732">
          <w:marLeft w:val="1636"/>
          <w:marRight w:val="0"/>
          <w:marTop w:val="0"/>
          <w:marBottom w:val="0"/>
          <w:divBdr>
            <w:top w:val="single" w:sz="24" w:space="0" w:color="6C9D30"/>
            <w:left w:val="single" w:sz="2" w:space="0" w:color="2E2E2E"/>
            <w:bottom w:val="single" w:sz="2" w:space="0" w:color="2E2E2E"/>
            <w:right w:val="single" w:sz="2" w:space="0" w:color="2E2E2E"/>
          </w:divBdr>
          <w:divsChild>
            <w:div w:id="1537691390">
              <w:marLeft w:val="0"/>
              <w:marRight w:val="0"/>
              <w:marTop w:val="19"/>
              <w:marBottom w:val="0"/>
              <w:divBdr>
                <w:top w:val="none" w:sz="0" w:space="0" w:color="auto"/>
                <w:left w:val="none" w:sz="0" w:space="0" w:color="auto"/>
                <w:bottom w:val="none" w:sz="0" w:space="0" w:color="auto"/>
                <w:right w:val="none" w:sz="0" w:space="0" w:color="auto"/>
              </w:divBdr>
              <w:divsChild>
                <w:div w:id="518353820">
                  <w:marLeft w:val="0"/>
                  <w:marRight w:val="0"/>
                  <w:marTop w:val="0"/>
                  <w:marBottom w:val="0"/>
                  <w:divBdr>
                    <w:top w:val="none" w:sz="0" w:space="0" w:color="auto"/>
                    <w:left w:val="none" w:sz="0" w:space="0" w:color="auto"/>
                    <w:bottom w:val="none" w:sz="0" w:space="0" w:color="auto"/>
                    <w:right w:val="none" w:sz="0" w:space="0" w:color="auto"/>
                  </w:divBdr>
                  <w:divsChild>
                    <w:div w:id="1243637494">
                      <w:marLeft w:val="0"/>
                      <w:marRight w:val="0"/>
                      <w:marTop w:val="0"/>
                      <w:marBottom w:val="0"/>
                      <w:divBdr>
                        <w:top w:val="none" w:sz="0" w:space="0" w:color="auto"/>
                        <w:left w:val="none" w:sz="0" w:space="0" w:color="auto"/>
                        <w:bottom w:val="none" w:sz="0" w:space="0" w:color="auto"/>
                        <w:right w:val="none" w:sz="0" w:space="0" w:color="auto"/>
                      </w:divBdr>
                      <w:divsChild>
                        <w:div w:id="2049798781">
                          <w:marLeft w:val="0"/>
                          <w:marRight w:val="0"/>
                          <w:marTop w:val="0"/>
                          <w:marBottom w:val="0"/>
                          <w:divBdr>
                            <w:top w:val="none" w:sz="0" w:space="0" w:color="auto"/>
                            <w:left w:val="none" w:sz="0" w:space="0" w:color="auto"/>
                            <w:bottom w:val="none" w:sz="0" w:space="0" w:color="auto"/>
                            <w:right w:val="none" w:sz="0" w:space="0" w:color="auto"/>
                          </w:divBdr>
                          <w:divsChild>
                            <w:div w:id="1333027465">
                              <w:marLeft w:val="0"/>
                              <w:marRight w:val="0"/>
                              <w:marTop w:val="0"/>
                              <w:marBottom w:val="0"/>
                              <w:divBdr>
                                <w:top w:val="none" w:sz="0" w:space="0" w:color="auto"/>
                                <w:left w:val="none" w:sz="0" w:space="0" w:color="auto"/>
                                <w:bottom w:val="none" w:sz="0" w:space="0" w:color="auto"/>
                                <w:right w:val="none" w:sz="0" w:space="0" w:color="auto"/>
                              </w:divBdr>
                            </w:div>
                            <w:div w:id="13800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11063">
      <w:bodyDiv w:val="1"/>
      <w:marLeft w:val="0"/>
      <w:marRight w:val="0"/>
      <w:marTop w:val="0"/>
      <w:marBottom w:val="0"/>
      <w:divBdr>
        <w:top w:val="none" w:sz="0" w:space="0" w:color="auto"/>
        <w:left w:val="none" w:sz="0" w:space="0" w:color="auto"/>
        <w:bottom w:val="none" w:sz="0" w:space="0" w:color="auto"/>
        <w:right w:val="none" w:sz="0" w:space="0" w:color="auto"/>
      </w:divBdr>
    </w:div>
    <w:div w:id="584345412">
      <w:bodyDiv w:val="1"/>
      <w:marLeft w:val="0"/>
      <w:marRight w:val="0"/>
      <w:marTop w:val="0"/>
      <w:marBottom w:val="0"/>
      <w:divBdr>
        <w:top w:val="none" w:sz="0" w:space="0" w:color="auto"/>
        <w:left w:val="none" w:sz="0" w:space="0" w:color="auto"/>
        <w:bottom w:val="none" w:sz="0" w:space="0" w:color="auto"/>
        <w:right w:val="none" w:sz="0" w:space="0" w:color="auto"/>
      </w:divBdr>
      <w:divsChild>
        <w:div w:id="19205215">
          <w:marLeft w:val="1636"/>
          <w:marRight w:val="0"/>
          <w:marTop w:val="0"/>
          <w:marBottom w:val="0"/>
          <w:divBdr>
            <w:top w:val="single" w:sz="24" w:space="0" w:color="6C9D30"/>
            <w:left w:val="single" w:sz="2" w:space="0" w:color="2E2E2E"/>
            <w:bottom w:val="single" w:sz="2" w:space="0" w:color="2E2E2E"/>
            <w:right w:val="single" w:sz="2" w:space="0" w:color="2E2E2E"/>
          </w:divBdr>
          <w:divsChild>
            <w:div w:id="1700623852">
              <w:marLeft w:val="0"/>
              <w:marRight w:val="0"/>
              <w:marTop w:val="19"/>
              <w:marBottom w:val="0"/>
              <w:divBdr>
                <w:top w:val="none" w:sz="0" w:space="0" w:color="auto"/>
                <w:left w:val="none" w:sz="0" w:space="0" w:color="auto"/>
                <w:bottom w:val="none" w:sz="0" w:space="0" w:color="auto"/>
                <w:right w:val="none" w:sz="0" w:space="0" w:color="auto"/>
              </w:divBdr>
              <w:divsChild>
                <w:div w:id="255750852">
                  <w:marLeft w:val="0"/>
                  <w:marRight w:val="0"/>
                  <w:marTop w:val="0"/>
                  <w:marBottom w:val="0"/>
                  <w:divBdr>
                    <w:top w:val="none" w:sz="0" w:space="0" w:color="auto"/>
                    <w:left w:val="none" w:sz="0" w:space="0" w:color="auto"/>
                    <w:bottom w:val="none" w:sz="0" w:space="0" w:color="auto"/>
                    <w:right w:val="none" w:sz="0" w:space="0" w:color="auto"/>
                  </w:divBdr>
                  <w:divsChild>
                    <w:div w:id="2000841916">
                      <w:marLeft w:val="0"/>
                      <w:marRight w:val="0"/>
                      <w:marTop w:val="0"/>
                      <w:marBottom w:val="0"/>
                      <w:divBdr>
                        <w:top w:val="none" w:sz="0" w:space="0" w:color="auto"/>
                        <w:left w:val="none" w:sz="0" w:space="0" w:color="auto"/>
                        <w:bottom w:val="none" w:sz="0" w:space="0" w:color="auto"/>
                        <w:right w:val="none" w:sz="0" w:space="0" w:color="auto"/>
                      </w:divBdr>
                      <w:divsChild>
                        <w:div w:id="669603679">
                          <w:marLeft w:val="0"/>
                          <w:marRight w:val="0"/>
                          <w:marTop w:val="0"/>
                          <w:marBottom w:val="0"/>
                          <w:divBdr>
                            <w:top w:val="none" w:sz="0" w:space="0" w:color="auto"/>
                            <w:left w:val="none" w:sz="0" w:space="0" w:color="auto"/>
                            <w:bottom w:val="none" w:sz="0" w:space="0" w:color="auto"/>
                            <w:right w:val="none" w:sz="0" w:space="0" w:color="auto"/>
                          </w:divBdr>
                          <w:divsChild>
                            <w:div w:id="62487438">
                              <w:marLeft w:val="0"/>
                              <w:marRight w:val="0"/>
                              <w:marTop w:val="0"/>
                              <w:marBottom w:val="0"/>
                              <w:divBdr>
                                <w:top w:val="none" w:sz="0" w:space="0" w:color="auto"/>
                                <w:left w:val="none" w:sz="0" w:space="0" w:color="auto"/>
                                <w:bottom w:val="none" w:sz="0" w:space="0" w:color="auto"/>
                                <w:right w:val="none" w:sz="0" w:space="0" w:color="auto"/>
                              </w:divBdr>
                            </w:div>
                            <w:div w:id="555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777787">
      <w:bodyDiv w:val="1"/>
      <w:marLeft w:val="0"/>
      <w:marRight w:val="0"/>
      <w:marTop w:val="0"/>
      <w:marBottom w:val="0"/>
      <w:divBdr>
        <w:top w:val="none" w:sz="0" w:space="0" w:color="auto"/>
        <w:left w:val="none" w:sz="0" w:space="0" w:color="auto"/>
        <w:bottom w:val="none" w:sz="0" w:space="0" w:color="auto"/>
        <w:right w:val="none" w:sz="0" w:space="0" w:color="auto"/>
      </w:divBdr>
    </w:div>
    <w:div w:id="788814908">
      <w:bodyDiv w:val="1"/>
      <w:marLeft w:val="0"/>
      <w:marRight w:val="0"/>
      <w:marTop w:val="0"/>
      <w:marBottom w:val="0"/>
      <w:divBdr>
        <w:top w:val="none" w:sz="0" w:space="0" w:color="auto"/>
        <w:left w:val="none" w:sz="0" w:space="0" w:color="auto"/>
        <w:bottom w:val="none" w:sz="0" w:space="0" w:color="auto"/>
        <w:right w:val="none" w:sz="0" w:space="0" w:color="auto"/>
      </w:divBdr>
    </w:div>
    <w:div w:id="1208950437">
      <w:bodyDiv w:val="1"/>
      <w:marLeft w:val="0"/>
      <w:marRight w:val="0"/>
      <w:marTop w:val="0"/>
      <w:marBottom w:val="0"/>
      <w:divBdr>
        <w:top w:val="none" w:sz="0" w:space="0" w:color="auto"/>
        <w:left w:val="none" w:sz="0" w:space="0" w:color="auto"/>
        <w:bottom w:val="none" w:sz="0" w:space="0" w:color="auto"/>
        <w:right w:val="none" w:sz="0" w:space="0" w:color="auto"/>
      </w:divBdr>
    </w:div>
    <w:div w:id="1220242607">
      <w:bodyDiv w:val="1"/>
      <w:marLeft w:val="0"/>
      <w:marRight w:val="0"/>
      <w:marTop w:val="0"/>
      <w:marBottom w:val="0"/>
      <w:divBdr>
        <w:top w:val="none" w:sz="0" w:space="0" w:color="auto"/>
        <w:left w:val="none" w:sz="0" w:space="0" w:color="auto"/>
        <w:bottom w:val="none" w:sz="0" w:space="0" w:color="auto"/>
        <w:right w:val="none" w:sz="0" w:space="0" w:color="auto"/>
      </w:divBdr>
      <w:divsChild>
        <w:div w:id="306520565">
          <w:marLeft w:val="0"/>
          <w:marRight w:val="0"/>
          <w:marTop w:val="0"/>
          <w:marBottom w:val="0"/>
          <w:divBdr>
            <w:top w:val="none" w:sz="0" w:space="0" w:color="auto"/>
            <w:left w:val="none" w:sz="0" w:space="0" w:color="auto"/>
            <w:bottom w:val="none" w:sz="0" w:space="0" w:color="auto"/>
            <w:right w:val="none" w:sz="0" w:space="0" w:color="auto"/>
          </w:divBdr>
        </w:div>
      </w:divsChild>
    </w:div>
    <w:div w:id="1430852282">
      <w:bodyDiv w:val="1"/>
      <w:marLeft w:val="0"/>
      <w:marRight w:val="0"/>
      <w:marTop w:val="0"/>
      <w:marBottom w:val="0"/>
      <w:divBdr>
        <w:top w:val="none" w:sz="0" w:space="0" w:color="auto"/>
        <w:left w:val="none" w:sz="0" w:space="0" w:color="auto"/>
        <w:bottom w:val="none" w:sz="0" w:space="0" w:color="auto"/>
        <w:right w:val="none" w:sz="0" w:space="0" w:color="auto"/>
      </w:divBdr>
      <w:divsChild>
        <w:div w:id="945304658">
          <w:marLeft w:val="0"/>
          <w:marRight w:val="0"/>
          <w:marTop w:val="0"/>
          <w:marBottom w:val="0"/>
          <w:divBdr>
            <w:top w:val="none" w:sz="0" w:space="0" w:color="auto"/>
            <w:left w:val="none" w:sz="0" w:space="0" w:color="auto"/>
            <w:bottom w:val="none" w:sz="0" w:space="0" w:color="auto"/>
            <w:right w:val="none" w:sz="0" w:space="0" w:color="auto"/>
          </w:divBdr>
          <w:divsChild>
            <w:div w:id="1005323763">
              <w:marLeft w:val="0"/>
              <w:marRight w:val="0"/>
              <w:marTop w:val="0"/>
              <w:marBottom w:val="0"/>
              <w:divBdr>
                <w:top w:val="none" w:sz="0" w:space="0" w:color="auto"/>
                <w:left w:val="none" w:sz="0" w:space="0" w:color="auto"/>
                <w:bottom w:val="none" w:sz="0" w:space="0" w:color="auto"/>
                <w:right w:val="none" w:sz="0" w:space="0" w:color="auto"/>
              </w:divBdr>
              <w:divsChild>
                <w:div w:id="1912541176">
                  <w:marLeft w:val="0"/>
                  <w:marRight w:val="0"/>
                  <w:marTop w:val="0"/>
                  <w:marBottom w:val="374"/>
                  <w:divBdr>
                    <w:top w:val="none" w:sz="0" w:space="0" w:color="auto"/>
                    <w:left w:val="none" w:sz="0" w:space="0" w:color="auto"/>
                    <w:bottom w:val="single" w:sz="8" w:space="0" w:color="E0E0E0"/>
                    <w:right w:val="none" w:sz="0" w:space="0" w:color="auto"/>
                  </w:divBdr>
                  <w:divsChild>
                    <w:div w:id="1697266144">
                      <w:marLeft w:val="0"/>
                      <w:marRight w:val="0"/>
                      <w:marTop w:val="0"/>
                      <w:marBottom w:val="0"/>
                      <w:divBdr>
                        <w:top w:val="none" w:sz="0" w:space="0" w:color="auto"/>
                        <w:left w:val="none" w:sz="0" w:space="0" w:color="auto"/>
                        <w:bottom w:val="none" w:sz="0" w:space="0" w:color="auto"/>
                        <w:right w:val="none" w:sz="0" w:space="0" w:color="auto"/>
                      </w:divBdr>
                      <w:divsChild>
                        <w:div w:id="255789433">
                          <w:marLeft w:val="0"/>
                          <w:marRight w:val="0"/>
                          <w:marTop w:val="0"/>
                          <w:marBottom w:val="374"/>
                          <w:divBdr>
                            <w:top w:val="none" w:sz="0" w:space="0" w:color="auto"/>
                            <w:left w:val="none" w:sz="0" w:space="0" w:color="auto"/>
                            <w:bottom w:val="single" w:sz="12" w:space="0" w:color="EBEBEB"/>
                            <w:right w:val="none" w:sz="0" w:space="0" w:color="auto"/>
                          </w:divBdr>
                          <w:divsChild>
                            <w:div w:id="16716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259446">
      <w:bodyDiv w:val="1"/>
      <w:marLeft w:val="0"/>
      <w:marRight w:val="0"/>
      <w:marTop w:val="0"/>
      <w:marBottom w:val="0"/>
      <w:divBdr>
        <w:top w:val="none" w:sz="0" w:space="0" w:color="auto"/>
        <w:left w:val="none" w:sz="0" w:space="0" w:color="auto"/>
        <w:bottom w:val="none" w:sz="0" w:space="0" w:color="auto"/>
        <w:right w:val="none" w:sz="0" w:space="0" w:color="auto"/>
      </w:divBdr>
    </w:div>
    <w:div w:id="1557888155">
      <w:bodyDiv w:val="1"/>
      <w:marLeft w:val="0"/>
      <w:marRight w:val="0"/>
      <w:marTop w:val="0"/>
      <w:marBottom w:val="0"/>
      <w:divBdr>
        <w:top w:val="none" w:sz="0" w:space="0" w:color="auto"/>
        <w:left w:val="none" w:sz="0" w:space="0" w:color="auto"/>
        <w:bottom w:val="none" w:sz="0" w:space="0" w:color="auto"/>
        <w:right w:val="none" w:sz="0" w:space="0" w:color="auto"/>
      </w:divBdr>
      <w:divsChild>
        <w:div w:id="1954940304">
          <w:marLeft w:val="0"/>
          <w:marRight w:val="0"/>
          <w:marTop w:val="0"/>
          <w:marBottom w:val="0"/>
          <w:divBdr>
            <w:top w:val="none" w:sz="0" w:space="0" w:color="auto"/>
            <w:left w:val="none" w:sz="0" w:space="0" w:color="auto"/>
            <w:bottom w:val="none" w:sz="0" w:space="0" w:color="auto"/>
            <w:right w:val="none" w:sz="0" w:space="0" w:color="auto"/>
          </w:divBdr>
        </w:div>
      </w:divsChild>
    </w:div>
    <w:div w:id="1606690529">
      <w:bodyDiv w:val="1"/>
      <w:marLeft w:val="0"/>
      <w:marRight w:val="0"/>
      <w:marTop w:val="0"/>
      <w:marBottom w:val="0"/>
      <w:divBdr>
        <w:top w:val="none" w:sz="0" w:space="0" w:color="auto"/>
        <w:left w:val="none" w:sz="0" w:space="0" w:color="auto"/>
        <w:bottom w:val="none" w:sz="0" w:space="0" w:color="auto"/>
        <w:right w:val="none" w:sz="0" w:space="0" w:color="auto"/>
      </w:divBdr>
      <w:divsChild>
        <w:div w:id="1209368481">
          <w:marLeft w:val="1636"/>
          <w:marRight w:val="0"/>
          <w:marTop w:val="0"/>
          <w:marBottom w:val="0"/>
          <w:divBdr>
            <w:top w:val="single" w:sz="24" w:space="0" w:color="6C9D30"/>
            <w:left w:val="single" w:sz="2" w:space="0" w:color="2E2E2E"/>
            <w:bottom w:val="single" w:sz="2" w:space="0" w:color="2E2E2E"/>
            <w:right w:val="single" w:sz="2" w:space="0" w:color="2E2E2E"/>
          </w:divBdr>
          <w:divsChild>
            <w:div w:id="1454053736">
              <w:marLeft w:val="0"/>
              <w:marRight w:val="0"/>
              <w:marTop w:val="19"/>
              <w:marBottom w:val="0"/>
              <w:divBdr>
                <w:top w:val="none" w:sz="0" w:space="0" w:color="auto"/>
                <w:left w:val="none" w:sz="0" w:space="0" w:color="auto"/>
                <w:bottom w:val="none" w:sz="0" w:space="0" w:color="auto"/>
                <w:right w:val="none" w:sz="0" w:space="0" w:color="auto"/>
              </w:divBdr>
              <w:divsChild>
                <w:div w:id="1411271904">
                  <w:marLeft w:val="0"/>
                  <w:marRight w:val="0"/>
                  <w:marTop w:val="0"/>
                  <w:marBottom w:val="0"/>
                  <w:divBdr>
                    <w:top w:val="none" w:sz="0" w:space="0" w:color="auto"/>
                    <w:left w:val="none" w:sz="0" w:space="0" w:color="auto"/>
                    <w:bottom w:val="none" w:sz="0" w:space="0" w:color="auto"/>
                    <w:right w:val="none" w:sz="0" w:space="0" w:color="auto"/>
                  </w:divBdr>
                  <w:divsChild>
                    <w:div w:id="1667242411">
                      <w:marLeft w:val="0"/>
                      <w:marRight w:val="0"/>
                      <w:marTop w:val="0"/>
                      <w:marBottom w:val="0"/>
                      <w:divBdr>
                        <w:top w:val="none" w:sz="0" w:space="0" w:color="auto"/>
                        <w:left w:val="none" w:sz="0" w:space="0" w:color="auto"/>
                        <w:bottom w:val="none" w:sz="0" w:space="0" w:color="auto"/>
                        <w:right w:val="none" w:sz="0" w:space="0" w:color="auto"/>
                      </w:divBdr>
                      <w:divsChild>
                        <w:div w:id="12923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15495">
      <w:bodyDiv w:val="1"/>
      <w:marLeft w:val="0"/>
      <w:marRight w:val="0"/>
      <w:marTop w:val="0"/>
      <w:marBottom w:val="0"/>
      <w:divBdr>
        <w:top w:val="none" w:sz="0" w:space="0" w:color="auto"/>
        <w:left w:val="none" w:sz="0" w:space="0" w:color="auto"/>
        <w:bottom w:val="none" w:sz="0" w:space="0" w:color="auto"/>
        <w:right w:val="none" w:sz="0" w:space="0" w:color="auto"/>
      </w:divBdr>
    </w:div>
    <w:div w:id="1688864829">
      <w:bodyDiv w:val="1"/>
      <w:marLeft w:val="0"/>
      <w:marRight w:val="0"/>
      <w:marTop w:val="0"/>
      <w:marBottom w:val="0"/>
      <w:divBdr>
        <w:top w:val="none" w:sz="0" w:space="0" w:color="auto"/>
        <w:left w:val="none" w:sz="0" w:space="0" w:color="auto"/>
        <w:bottom w:val="none" w:sz="0" w:space="0" w:color="auto"/>
        <w:right w:val="none" w:sz="0" w:space="0" w:color="auto"/>
      </w:divBdr>
    </w:div>
    <w:div w:id="1735008433">
      <w:bodyDiv w:val="1"/>
      <w:marLeft w:val="0"/>
      <w:marRight w:val="0"/>
      <w:marTop w:val="0"/>
      <w:marBottom w:val="0"/>
      <w:divBdr>
        <w:top w:val="none" w:sz="0" w:space="0" w:color="auto"/>
        <w:left w:val="none" w:sz="0" w:space="0" w:color="auto"/>
        <w:bottom w:val="none" w:sz="0" w:space="0" w:color="auto"/>
        <w:right w:val="none" w:sz="0" w:space="0" w:color="auto"/>
      </w:divBdr>
    </w:div>
    <w:div w:id="1806003851">
      <w:bodyDiv w:val="1"/>
      <w:marLeft w:val="0"/>
      <w:marRight w:val="0"/>
      <w:marTop w:val="0"/>
      <w:marBottom w:val="0"/>
      <w:divBdr>
        <w:top w:val="none" w:sz="0" w:space="0" w:color="auto"/>
        <w:left w:val="none" w:sz="0" w:space="0" w:color="auto"/>
        <w:bottom w:val="none" w:sz="0" w:space="0" w:color="auto"/>
        <w:right w:val="none" w:sz="0" w:space="0" w:color="auto"/>
      </w:divBdr>
      <w:divsChild>
        <w:div w:id="972173748">
          <w:marLeft w:val="0"/>
          <w:marRight w:val="0"/>
          <w:marTop w:val="0"/>
          <w:marBottom w:val="0"/>
          <w:divBdr>
            <w:top w:val="none" w:sz="0" w:space="0" w:color="auto"/>
            <w:left w:val="none" w:sz="0" w:space="0" w:color="auto"/>
            <w:bottom w:val="none" w:sz="0" w:space="0" w:color="auto"/>
            <w:right w:val="none" w:sz="0" w:space="0" w:color="auto"/>
          </w:divBdr>
          <w:divsChild>
            <w:div w:id="409163093">
              <w:marLeft w:val="0"/>
              <w:marRight w:val="0"/>
              <w:marTop w:val="0"/>
              <w:marBottom w:val="0"/>
              <w:divBdr>
                <w:top w:val="none" w:sz="0" w:space="0" w:color="auto"/>
                <w:left w:val="none" w:sz="0" w:space="0" w:color="auto"/>
                <w:bottom w:val="none" w:sz="0" w:space="0" w:color="auto"/>
                <w:right w:val="none" w:sz="0" w:space="0" w:color="auto"/>
              </w:divBdr>
              <w:divsChild>
                <w:div w:id="126510428">
                  <w:marLeft w:val="0"/>
                  <w:marRight w:val="0"/>
                  <w:marTop w:val="0"/>
                  <w:marBottom w:val="0"/>
                  <w:divBdr>
                    <w:top w:val="none" w:sz="0" w:space="0" w:color="auto"/>
                    <w:left w:val="none" w:sz="0" w:space="0" w:color="auto"/>
                    <w:bottom w:val="none" w:sz="0" w:space="0" w:color="auto"/>
                    <w:right w:val="none" w:sz="0" w:space="0" w:color="auto"/>
                  </w:divBdr>
                  <w:divsChild>
                    <w:div w:id="68045753">
                      <w:marLeft w:val="0"/>
                      <w:marRight w:val="0"/>
                      <w:marTop w:val="0"/>
                      <w:marBottom w:val="0"/>
                      <w:divBdr>
                        <w:top w:val="none" w:sz="0" w:space="0" w:color="auto"/>
                        <w:left w:val="none" w:sz="0" w:space="0" w:color="auto"/>
                        <w:bottom w:val="none" w:sz="0" w:space="0" w:color="auto"/>
                        <w:right w:val="none" w:sz="0" w:space="0" w:color="auto"/>
                      </w:divBdr>
                      <w:divsChild>
                        <w:div w:id="1405032129">
                          <w:marLeft w:val="0"/>
                          <w:marRight w:val="0"/>
                          <w:marTop w:val="0"/>
                          <w:marBottom w:val="0"/>
                          <w:divBdr>
                            <w:top w:val="none" w:sz="0" w:space="0" w:color="auto"/>
                            <w:left w:val="none" w:sz="0" w:space="0" w:color="auto"/>
                            <w:bottom w:val="none" w:sz="0" w:space="0" w:color="auto"/>
                            <w:right w:val="none" w:sz="0" w:space="0" w:color="auto"/>
                          </w:divBdr>
                          <w:divsChild>
                            <w:div w:id="6103341">
                              <w:marLeft w:val="0"/>
                              <w:marRight w:val="0"/>
                              <w:marTop w:val="0"/>
                              <w:marBottom w:val="0"/>
                              <w:divBdr>
                                <w:top w:val="none" w:sz="0" w:space="0" w:color="auto"/>
                                <w:left w:val="none" w:sz="0" w:space="0" w:color="auto"/>
                                <w:bottom w:val="none" w:sz="0" w:space="0" w:color="auto"/>
                                <w:right w:val="none" w:sz="0" w:space="0" w:color="auto"/>
                              </w:divBdr>
                              <w:divsChild>
                                <w:div w:id="2127849382">
                                  <w:marLeft w:val="0"/>
                                  <w:marRight w:val="0"/>
                                  <w:marTop w:val="0"/>
                                  <w:marBottom w:val="0"/>
                                  <w:divBdr>
                                    <w:top w:val="none" w:sz="0" w:space="0" w:color="auto"/>
                                    <w:left w:val="none" w:sz="0" w:space="0" w:color="auto"/>
                                    <w:bottom w:val="none" w:sz="0" w:space="0" w:color="auto"/>
                                    <w:right w:val="none" w:sz="0" w:space="0" w:color="auto"/>
                                  </w:divBdr>
                                  <w:divsChild>
                                    <w:div w:id="1664818441">
                                      <w:marLeft w:val="0"/>
                                      <w:marRight w:val="0"/>
                                      <w:marTop w:val="0"/>
                                      <w:marBottom w:val="0"/>
                                      <w:divBdr>
                                        <w:top w:val="none" w:sz="0" w:space="0" w:color="auto"/>
                                        <w:left w:val="none" w:sz="0" w:space="0" w:color="auto"/>
                                        <w:bottom w:val="none" w:sz="0" w:space="0" w:color="auto"/>
                                        <w:right w:val="none" w:sz="0" w:space="0" w:color="auto"/>
                                      </w:divBdr>
                                      <w:divsChild>
                                        <w:div w:id="1457677131">
                                          <w:marLeft w:val="0"/>
                                          <w:marRight w:val="0"/>
                                          <w:marTop w:val="0"/>
                                          <w:marBottom w:val="0"/>
                                          <w:divBdr>
                                            <w:top w:val="none" w:sz="0" w:space="0" w:color="auto"/>
                                            <w:left w:val="none" w:sz="0" w:space="0" w:color="auto"/>
                                            <w:bottom w:val="none" w:sz="0" w:space="0" w:color="auto"/>
                                            <w:right w:val="none" w:sz="0" w:space="0" w:color="auto"/>
                                          </w:divBdr>
                                          <w:divsChild>
                                            <w:div w:id="14781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989199">
      <w:bodyDiv w:val="1"/>
      <w:marLeft w:val="0"/>
      <w:marRight w:val="0"/>
      <w:marTop w:val="0"/>
      <w:marBottom w:val="0"/>
      <w:divBdr>
        <w:top w:val="none" w:sz="0" w:space="0" w:color="auto"/>
        <w:left w:val="none" w:sz="0" w:space="0" w:color="auto"/>
        <w:bottom w:val="none" w:sz="0" w:space="0" w:color="auto"/>
        <w:right w:val="none" w:sz="0" w:space="0" w:color="auto"/>
      </w:divBdr>
      <w:divsChild>
        <w:div w:id="405343386">
          <w:marLeft w:val="0"/>
          <w:marRight w:val="0"/>
          <w:marTop w:val="0"/>
          <w:marBottom w:val="0"/>
          <w:divBdr>
            <w:top w:val="none" w:sz="0" w:space="0" w:color="auto"/>
            <w:left w:val="none" w:sz="0" w:space="0" w:color="auto"/>
            <w:bottom w:val="none" w:sz="0" w:space="0" w:color="auto"/>
            <w:right w:val="none" w:sz="0" w:space="0" w:color="auto"/>
          </w:divBdr>
          <w:divsChild>
            <w:div w:id="1899895383">
              <w:marLeft w:val="0"/>
              <w:marRight w:val="0"/>
              <w:marTop w:val="0"/>
              <w:marBottom w:val="0"/>
              <w:divBdr>
                <w:top w:val="none" w:sz="0" w:space="0" w:color="auto"/>
                <w:left w:val="none" w:sz="0" w:space="0" w:color="auto"/>
                <w:bottom w:val="none" w:sz="0" w:space="0" w:color="auto"/>
                <w:right w:val="none" w:sz="0" w:space="0" w:color="auto"/>
              </w:divBdr>
              <w:divsChild>
                <w:div w:id="1683431346">
                  <w:marLeft w:val="0"/>
                  <w:marRight w:val="0"/>
                  <w:marTop w:val="0"/>
                  <w:marBottom w:val="0"/>
                  <w:divBdr>
                    <w:top w:val="none" w:sz="0" w:space="0" w:color="auto"/>
                    <w:left w:val="none" w:sz="0" w:space="0" w:color="auto"/>
                    <w:bottom w:val="none" w:sz="0" w:space="0" w:color="auto"/>
                    <w:right w:val="none" w:sz="0" w:space="0" w:color="auto"/>
                  </w:divBdr>
                  <w:divsChild>
                    <w:div w:id="708385393">
                      <w:marLeft w:val="0"/>
                      <w:marRight w:val="0"/>
                      <w:marTop w:val="75"/>
                      <w:marBottom w:val="150"/>
                      <w:divBdr>
                        <w:top w:val="none" w:sz="0" w:space="0" w:color="auto"/>
                        <w:left w:val="none" w:sz="0" w:space="0" w:color="auto"/>
                        <w:bottom w:val="none" w:sz="0" w:space="0" w:color="auto"/>
                        <w:right w:val="none" w:sz="0" w:space="0" w:color="auto"/>
                      </w:divBdr>
                      <w:divsChild>
                        <w:div w:id="1945919749">
                          <w:marLeft w:val="0"/>
                          <w:marRight w:val="0"/>
                          <w:marTop w:val="0"/>
                          <w:marBottom w:val="0"/>
                          <w:divBdr>
                            <w:top w:val="single" w:sz="2" w:space="0" w:color="CCCCCC"/>
                            <w:left w:val="single" w:sz="2" w:space="0" w:color="CCCCCC"/>
                            <w:bottom w:val="single" w:sz="2" w:space="0" w:color="CCCCCC"/>
                            <w:right w:val="single" w:sz="2" w:space="0" w:color="CCCCCC"/>
                          </w:divBdr>
                          <w:divsChild>
                            <w:div w:id="464081438">
                              <w:marLeft w:val="0"/>
                              <w:marRight w:val="0"/>
                              <w:marTop w:val="0"/>
                              <w:marBottom w:val="0"/>
                              <w:divBdr>
                                <w:top w:val="none" w:sz="0" w:space="0" w:color="auto"/>
                                <w:left w:val="none" w:sz="0" w:space="0" w:color="auto"/>
                                <w:bottom w:val="none" w:sz="0" w:space="0" w:color="auto"/>
                                <w:right w:val="none" w:sz="0" w:space="0" w:color="auto"/>
                              </w:divBdr>
                              <w:divsChild>
                                <w:div w:id="477116053">
                                  <w:marLeft w:val="0"/>
                                  <w:marRight w:val="0"/>
                                  <w:marTop w:val="0"/>
                                  <w:marBottom w:val="0"/>
                                  <w:divBdr>
                                    <w:top w:val="none" w:sz="0" w:space="0" w:color="auto"/>
                                    <w:left w:val="none" w:sz="0" w:space="0" w:color="auto"/>
                                    <w:bottom w:val="none" w:sz="0" w:space="0" w:color="auto"/>
                                    <w:right w:val="none" w:sz="0" w:space="0" w:color="auto"/>
                                  </w:divBdr>
                                  <w:divsChild>
                                    <w:div w:id="16401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6678D-90C7-4011-B0EA-8B7B3C5D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Traumatic Brain Injury Common Data Element Recommendations for Social Cognition</dc:title>
  <dc:subject>Guideline Document</dc:subject>
  <dc:creator>NINDS</dc:creator>
  <cp:keywords>NINDS, Guideline Document Traumatic Brain Injury Common Data Element Recommendations for Social Cognition</cp:keywords>
  <cp:lastModifiedBy>Andy Franklin</cp:lastModifiedBy>
  <cp:revision>3</cp:revision>
  <dcterms:created xsi:type="dcterms:W3CDTF">2014-05-16T17:08:00Z</dcterms:created>
  <dcterms:modified xsi:type="dcterms:W3CDTF">2014-05-16T17:09:00Z</dcterms:modified>
  <cp:category>Guideline Document</cp:category>
  <cp:contentStatus>508 Compliant</cp:contentStatus>
</cp:coreProperties>
</file>