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2419" w:rsidRPr="005463F4" w:rsidRDefault="00EA2419" w:rsidP="00AD54D0">
      <w:pPr>
        <w:pStyle w:val="Heading2"/>
      </w:pPr>
      <w:r w:rsidRPr="005463F4">
        <w:t xml:space="preserve">Outcome Domain: </w:t>
      </w:r>
    </w:p>
    <w:p w:rsidR="00EA2419" w:rsidRPr="005463F4" w:rsidRDefault="00EA2419" w:rsidP="00EA2419">
      <w:pPr>
        <w:rPr>
          <w:rFonts w:cs="Calibri"/>
        </w:rPr>
      </w:pPr>
      <w:r>
        <w:rPr>
          <w:rFonts w:cs="Calibri"/>
        </w:rPr>
        <w:t>Neuropsychological Impairment</w:t>
      </w:r>
    </w:p>
    <w:p w:rsidR="00EA2419" w:rsidRPr="006D07FA" w:rsidRDefault="00EA2419" w:rsidP="00C7233D">
      <w:pPr>
        <w:pStyle w:val="Heading3"/>
      </w:pPr>
      <w:r w:rsidRPr="006D07FA">
        <w:t xml:space="preserve">Domain Description and Relevance in TBI: </w:t>
      </w:r>
    </w:p>
    <w:p w:rsidR="00EA2419" w:rsidRPr="00EA5A33" w:rsidRDefault="00EA2419" w:rsidP="00EA2419">
      <w:pPr>
        <w:rPr>
          <w:rFonts w:cs="Calibri"/>
        </w:rPr>
      </w:pPr>
      <w:r>
        <w:rPr>
          <w:rFonts w:cs="Calibri"/>
        </w:rPr>
        <w:t>“</w:t>
      </w:r>
      <w:r w:rsidRPr="00EA2419">
        <w:rPr>
          <w:rFonts w:cs="Calibri"/>
        </w:rPr>
        <w:t>Objective measures of neuropsychological functions such as attention, memory and executive function are very sensitive to the effects of TBI and often affect everyday activities and social role participation.</w:t>
      </w:r>
      <w:r w:rsidR="00986D38">
        <w:rPr>
          <w:rFonts w:cs="Calibri"/>
        </w:rPr>
        <w:t>”</w:t>
      </w:r>
      <w:r w:rsidRPr="00EA2419">
        <w:rPr>
          <w:rFonts w:cs="Calibri"/>
        </w:rPr>
        <w:t xml:space="preserve">  </w:t>
      </w:r>
      <w:r>
        <w:rPr>
          <w:rFonts w:cs="Calibri"/>
        </w:rPr>
        <w:t>– Wilde et al. 2010</w:t>
      </w:r>
    </w:p>
    <w:p w:rsidR="00AD54D0" w:rsidRDefault="00AD54D0" w:rsidP="00AD54D0">
      <w:pPr>
        <w:pStyle w:val="Caption"/>
        <w:keepNext/>
      </w:pPr>
      <w:r>
        <w:t xml:space="preserve">Table </w:t>
      </w:r>
      <w:fldSimple w:instr=" SEQ Table \* ARABIC ">
        <w:r>
          <w:rPr>
            <w:noProof/>
          </w:rPr>
          <w:t>1</w:t>
        </w:r>
      </w:fldSimple>
      <w:r>
        <w:t xml:space="preserve"> </w:t>
      </w:r>
      <w:r w:rsidRPr="00AF3B28">
        <w:t>CDE Classification by Type of TBI Study and Relevant Population for Recommended Neuropsychological Impairment Outcome Measures.</w:t>
      </w:r>
    </w:p>
    <w:tbl>
      <w:tblPr>
        <w:tblW w:w="9180" w:type="dxa"/>
        <w:tblInd w:w="108" w:type="dxa"/>
        <w:tblLayout w:type="fixed"/>
        <w:tblLook w:val="04A0" w:firstRow="1" w:lastRow="0" w:firstColumn="1" w:lastColumn="0" w:noHBand="0" w:noVBand="1"/>
      </w:tblPr>
      <w:tblGrid>
        <w:gridCol w:w="1890"/>
        <w:gridCol w:w="1170"/>
        <w:gridCol w:w="1530"/>
        <w:gridCol w:w="1530"/>
        <w:gridCol w:w="1530"/>
        <w:gridCol w:w="1530"/>
      </w:tblGrid>
      <w:tr w:rsidR="00EA2419" w:rsidRPr="005463F4" w:rsidTr="006C4F95">
        <w:trPr>
          <w:cantSplit/>
          <w:trHeight w:val="600"/>
          <w:tblHeader/>
        </w:trPr>
        <w:tc>
          <w:tcPr>
            <w:tcW w:w="1890" w:type="dxa"/>
            <w:tcBorders>
              <w:top w:val="single" w:sz="4" w:space="0" w:color="auto"/>
              <w:left w:val="single" w:sz="4" w:space="0" w:color="auto"/>
              <w:bottom w:val="single" w:sz="4" w:space="0" w:color="auto"/>
              <w:right w:val="single" w:sz="4" w:space="0" w:color="auto"/>
            </w:tcBorders>
            <w:shd w:val="clear" w:color="000000" w:fill="FFFFFF"/>
            <w:hideMark/>
          </w:tcPr>
          <w:p w:rsidR="00EA2419" w:rsidRPr="006C4F95" w:rsidRDefault="00EA2419" w:rsidP="0085772F">
            <w:pPr>
              <w:spacing w:after="0" w:line="240" w:lineRule="auto"/>
              <w:jc w:val="center"/>
              <w:rPr>
                <w:rFonts w:eastAsia="Times New Roman" w:cs="Calibri"/>
                <w:bCs/>
                <w:sz w:val="20"/>
                <w:szCs w:val="20"/>
              </w:rPr>
            </w:pPr>
            <w:r w:rsidRPr="006C4F95">
              <w:rPr>
                <w:rFonts w:eastAsia="Times New Roman" w:cs="Calibri"/>
                <w:bCs/>
                <w:sz w:val="20"/>
                <w:szCs w:val="20"/>
              </w:rPr>
              <w:t>Outcome Measure Name</w:t>
            </w:r>
          </w:p>
        </w:tc>
        <w:tc>
          <w:tcPr>
            <w:tcW w:w="1170" w:type="dxa"/>
            <w:tcBorders>
              <w:top w:val="single" w:sz="4" w:space="0" w:color="auto"/>
              <w:left w:val="nil"/>
              <w:bottom w:val="single" w:sz="4" w:space="0" w:color="auto"/>
              <w:right w:val="single" w:sz="4" w:space="0" w:color="auto"/>
            </w:tcBorders>
            <w:shd w:val="clear" w:color="000000" w:fill="FFFFFF"/>
            <w:hideMark/>
          </w:tcPr>
          <w:p w:rsidR="00EA2419" w:rsidRPr="006C4F95" w:rsidRDefault="00EA2419" w:rsidP="0085772F">
            <w:pPr>
              <w:spacing w:after="0" w:line="240" w:lineRule="auto"/>
              <w:jc w:val="center"/>
              <w:rPr>
                <w:rFonts w:eastAsia="Times New Roman" w:cs="Calibri"/>
                <w:bCs/>
                <w:sz w:val="20"/>
                <w:szCs w:val="20"/>
              </w:rPr>
            </w:pPr>
            <w:r w:rsidRPr="006C4F95">
              <w:rPr>
                <w:rFonts w:eastAsia="Times New Roman" w:cs="Calibri"/>
                <w:bCs/>
                <w:sz w:val="20"/>
                <w:szCs w:val="20"/>
              </w:rPr>
              <w:t>Relevant TBI Population</w:t>
            </w:r>
          </w:p>
        </w:tc>
        <w:tc>
          <w:tcPr>
            <w:tcW w:w="1530" w:type="dxa"/>
            <w:tcBorders>
              <w:top w:val="single" w:sz="4" w:space="0" w:color="auto"/>
              <w:left w:val="nil"/>
              <w:bottom w:val="single" w:sz="4" w:space="0" w:color="auto"/>
              <w:right w:val="single" w:sz="4" w:space="0" w:color="auto"/>
            </w:tcBorders>
            <w:shd w:val="clear" w:color="000000" w:fill="FFFFFF"/>
            <w:hideMark/>
          </w:tcPr>
          <w:p w:rsidR="00EA2419" w:rsidRPr="006C4F95" w:rsidRDefault="00EA2419" w:rsidP="0085772F">
            <w:pPr>
              <w:spacing w:after="0" w:line="240" w:lineRule="auto"/>
              <w:jc w:val="center"/>
              <w:rPr>
                <w:rFonts w:eastAsia="Times New Roman" w:cs="Calibri"/>
                <w:bCs/>
                <w:sz w:val="20"/>
                <w:szCs w:val="20"/>
              </w:rPr>
            </w:pPr>
            <w:r w:rsidRPr="006C4F95">
              <w:rPr>
                <w:rFonts w:eastAsia="Times New Roman" w:cs="Calibri"/>
                <w:bCs/>
                <w:sz w:val="20"/>
                <w:szCs w:val="20"/>
              </w:rPr>
              <w:t>Acute Hospitalized</w:t>
            </w:r>
          </w:p>
        </w:tc>
        <w:tc>
          <w:tcPr>
            <w:tcW w:w="1530" w:type="dxa"/>
            <w:tcBorders>
              <w:top w:val="single" w:sz="4" w:space="0" w:color="auto"/>
              <w:left w:val="nil"/>
              <w:bottom w:val="single" w:sz="4" w:space="0" w:color="auto"/>
              <w:right w:val="single" w:sz="4" w:space="0" w:color="auto"/>
            </w:tcBorders>
            <w:shd w:val="clear" w:color="000000" w:fill="FFFFFF"/>
            <w:hideMark/>
          </w:tcPr>
          <w:p w:rsidR="00EA2419" w:rsidRPr="006C4F95" w:rsidRDefault="00EA2419" w:rsidP="0085772F">
            <w:pPr>
              <w:spacing w:after="0" w:line="240" w:lineRule="auto"/>
              <w:jc w:val="center"/>
              <w:rPr>
                <w:rFonts w:eastAsia="Times New Roman" w:cs="Calibri"/>
                <w:bCs/>
                <w:sz w:val="20"/>
                <w:szCs w:val="20"/>
              </w:rPr>
            </w:pPr>
            <w:r w:rsidRPr="006C4F95">
              <w:rPr>
                <w:rFonts w:eastAsia="Times New Roman" w:cs="Calibri"/>
                <w:bCs/>
                <w:sz w:val="20"/>
                <w:szCs w:val="20"/>
              </w:rPr>
              <w:t>Moderate/ Severe Rehabilitation</w:t>
            </w:r>
          </w:p>
        </w:tc>
        <w:tc>
          <w:tcPr>
            <w:tcW w:w="1530" w:type="dxa"/>
            <w:tcBorders>
              <w:top w:val="single" w:sz="4" w:space="0" w:color="auto"/>
              <w:left w:val="nil"/>
              <w:bottom w:val="single" w:sz="4" w:space="0" w:color="auto"/>
              <w:right w:val="single" w:sz="4" w:space="0" w:color="auto"/>
            </w:tcBorders>
            <w:shd w:val="clear" w:color="000000" w:fill="FFFFFF"/>
          </w:tcPr>
          <w:p w:rsidR="00EA2419" w:rsidRPr="006C4F95" w:rsidRDefault="00EA2419" w:rsidP="0085772F">
            <w:pPr>
              <w:spacing w:after="0" w:line="240" w:lineRule="auto"/>
              <w:jc w:val="center"/>
              <w:rPr>
                <w:rFonts w:eastAsia="Times New Roman" w:cs="Calibri"/>
                <w:bCs/>
                <w:sz w:val="20"/>
                <w:szCs w:val="20"/>
              </w:rPr>
            </w:pPr>
            <w:r w:rsidRPr="006C4F95">
              <w:rPr>
                <w:rFonts w:eastAsia="Times New Roman" w:cs="Calibri"/>
                <w:bCs/>
                <w:sz w:val="20"/>
                <w:szCs w:val="20"/>
              </w:rPr>
              <w:t>Concussion/ Mild TBI</w:t>
            </w:r>
          </w:p>
        </w:tc>
        <w:tc>
          <w:tcPr>
            <w:tcW w:w="1530" w:type="dxa"/>
            <w:tcBorders>
              <w:top w:val="single" w:sz="4" w:space="0" w:color="auto"/>
              <w:left w:val="single" w:sz="4" w:space="0" w:color="auto"/>
              <w:bottom w:val="single" w:sz="4" w:space="0" w:color="auto"/>
              <w:right w:val="single" w:sz="4" w:space="0" w:color="auto"/>
            </w:tcBorders>
            <w:shd w:val="clear" w:color="000000" w:fill="FFFFFF"/>
            <w:hideMark/>
          </w:tcPr>
          <w:p w:rsidR="00EA2419" w:rsidRPr="006C4F95" w:rsidRDefault="00EA2419" w:rsidP="0085772F">
            <w:pPr>
              <w:spacing w:after="0" w:line="240" w:lineRule="auto"/>
              <w:jc w:val="center"/>
              <w:rPr>
                <w:rFonts w:eastAsia="Times New Roman" w:cs="Calibri"/>
                <w:bCs/>
                <w:sz w:val="20"/>
                <w:szCs w:val="20"/>
              </w:rPr>
            </w:pPr>
            <w:r w:rsidRPr="006C4F95">
              <w:rPr>
                <w:rFonts w:eastAsia="Times New Roman" w:cs="Calibri"/>
                <w:bCs/>
                <w:sz w:val="20"/>
                <w:szCs w:val="20"/>
              </w:rPr>
              <w:t>Epidemiology</w:t>
            </w:r>
          </w:p>
        </w:tc>
      </w:tr>
      <w:tr w:rsidR="00EA2419" w:rsidRPr="00EA2419" w:rsidTr="006C4F95">
        <w:trPr>
          <w:cantSplit/>
          <w:trHeight w:val="600"/>
        </w:trPr>
        <w:tc>
          <w:tcPr>
            <w:tcW w:w="1890" w:type="dxa"/>
            <w:tcBorders>
              <w:top w:val="single" w:sz="4" w:space="0" w:color="auto"/>
              <w:left w:val="single" w:sz="4" w:space="0" w:color="auto"/>
              <w:bottom w:val="single" w:sz="4" w:space="0" w:color="auto"/>
              <w:right w:val="single" w:sz="4" w:space="0" w:color="auto"/>
            </w:tcBorders>
            <w:shd w:val="clear" w:color="000000" w:fill="FFFFFF"/>
            <w:hideMark/>
          </w:tcPr>
          <w:p w:rsidR="00EA2419" w:rsidRPr="00EA2419" w:rsidRDefault="00EA2419" w:rsidP="00EA2419">
            <w:pPr>
              <w:spacing w:after="0" w:line="240" w:lineRule="auto"/>
              <w:rPr>
                <w:rFonts w:eastAsia="Times New Roman" w:cs="Calibri"/>
                <w:bCs/>
                <w:sz w:val="20"/>
                <w:szCs w:val="20"/>
              </w:rPr>
            </w:pPr>
            <w:r w:rsidRPr="00EA2419">
              <w:rPr>
                <w:rFonts w:eastAsia="Times New Roman" w:cs="Calibri"/>
                <w:bCs/>
                <w:sz w:val="20"/>
                <w:szCs w:val="20"/>
              </w:rPr>
              <w:t>Automated Neuropsychological Assessment Metrics (ANAM)</w:t>
            </w:r>
          </w:p>
        </w:tc>
        <w:tc>
          <w:tcPr>
            <w:tcW w:w="1170" w:type="dxa"/>
            <w:tcBorders>
              <w:top w:val="single" w:sz="4" w:space="0" w:color="auto"/>
              <w:left w:val="nil"/>
              <w:bottom w:val="single" w:sz="4" w:space="0" w:color="auto"/>
              <w:right w:val="single" w:sz="4" w:space="0" w:color="auto"/>
            </w:tcBorders>
            <w:shd w:val="clear" w:color="000000" w:fill="FFFFFF"/>
            <w:hideMark/>
          </w:tcPr>
          <w:p w:rsidR="00EA2419" w:rsidRPr="00EA2419" w:rsidRDefault="00EA2419" w:rsidP="00EA2419">
            <w:pPr>
              <w:spacing w:after="0" w:line="240" w:lineRule="auto"/>
              <w:rPr>
                <w:rFonts w:eastAsia="Times New Roman" w:cs="Calibri"/>
                <w:bCs/>
                <w:sz w:val="20"/>
                <w:szCs w:val="20"/>
              </w:rPr>
            </w:pPr>
            <w:r w:rsidRPr="00EA2419">
              <w:rPr>
                <w:rFonts w:eastAsia="Times New Roman" w:cs="Calibri"/>
                <w:bCs/>
                <w:sz w:val="20"/>
                <w:szCs w:val="20"/>
              </w:rPr>
              <w:t>Adult TBI</w:t>
            </w:r>
          </w:p>
        </w:tc>
        <w:tc>
          <w:tcPr>
            <w:tcW w:w="1530" w:type="dxa"/>
            <w:tcBorders>
              <w:top w:val="single" w:sz="4" w:space="0" w:color="auto"/>
              <w:left w:val="nil"/>
              <w:bottom w:val="single" w:sz="4" w:space="0" w:color="auto"/>
              <w:right w:val="single" w:sz="4" w:space="0" w:color="auto"/>
            </w:tcBorders>
            <w:shd w:val="clear" w:color="000000" w:fill="FFFFFF"/>
            <w:hideMark/>
          </w:tcPr>
          <w:p w:rsidR="00EA2419" w:rsidRPr="00EA2419" w:rsidRDefault="00EA2419" w:rsidP="00EA2419">
            <w:pPr>
              <w:spacing w:after="0" w:line="240" w:lineRule="auto"/>
              <w:rPr>
                <w:rFonts w:eastAsia="Times New Roman" w:cs="Calibri"/>
                <w:bCs/>
                <w:sz w:val="20"/>
                <w:szCs w:val="20"/>
              </w:rPr>
            </w:pPr>
            <w:r w:rsidRPr="00EA2419">
              <w:rPr>
                <w:rFonts w:eastAsia="Times New Roman" w:cs="Calibri"/>
                <w:bCs/>
                <w:sz w:val="20"/>
                <w:szCs w:val="20"/>
              </w:rPr>
              <w:t>Supplemental</w:t>
            </w:r>
          </w:p>
        </w:tc>
        <w:tc>
          <w:tcPr>
            <w:tcW w:w="1530" w:type="dxa"/>
            <w:tcBorders>
              <w:top w:val="single" w:sz="4" w:space="0" w:color="auto"/>
              <w:left w:val="nil"/>
              <w:bottom w:val="single" w:sz="4" w:space="0" w:color="auto"/>
              <w:right w:val="single" w:sz="4" w:space="0" w:color="auto"/>
            </w:tcBorders>
            <w:shd w:val="clear" w:color="000000" w:fill="FFFFFF"/>
            <w:hideMark/>
          </w:tcPr>
          <w:p w:rsidR="00EA2419" w:rsidRPr="00EA2419" w:rsidRDefault="00EA2419" w:rsidP="00EA2419">
            <w:pPr>
              <w:spacing w:after="0" w:line="240" w:lineRule="auto"/>
              <w:rPr>
                <w:rFonts w:eastAsia="Times New Roman" w:cs="Calibri"/>
                <w:bCs/>
                <w:sz w:val="20"/>
                <w:szCs w:val="20"/>
              </w:rPr>
            </w:pPr>
            <w:r w:rsidRPr="00EA2419">
              <w:rPr>
                <w:rFonts w:eastAsia="Times New Roman" w:cs="Calibri"/>
                <w:bCs/>
                <w:sz w:val="20"/>
                <w:szCs w:val="20"/>
              </w:rPr>
              <w:t>Supplemental</w:t>
            </w:r>
          </w:p>
        </w:tc>
        <w:tc>
          <w:tcPr>
            <w:tcW w:w="1530" w:type="dxa"/>
            <w:tcBorders>
              <w:top w:val="single" w:sz="4" w:space="0" w:color="auto"/>
              <w:left w:val="nil"/>
              <w:bottom w:val="single" w:sz="4" w:space="0" w:color="auto"/>
              <w:right w:val="single" w:sz="4" w:space="0" w:color="auto"/>
            </w:tcBorders>
            <w:shd w:val="clear" w:color="000000" w:fill="FFFFFF"/>
          </w:tcPr>
          <w:p w:rsidR="00EA2419" w:rsidRPr="00EA2419" w:rsidRDefault="00EA2419" w:rsidP="00EA2419">
            <w:pPr>
              <w:spacing w:after="0" w:line="240" w:lineRule="auto"/>
              <w:rPr>
                <w:rFonts w:eastAsia="Times New Roman" w:cs="Calibri"/>
                <w:bCs/>
                <w:sz w:val="20"/>
                <w:szCs w:val="20"/>
              </w:rPr>
            </w:pPr>
            <w:r w:rsidRPr="00EA2419">
              <w:rPr>
                <w:rFonts w:eastAsia="Times New Roman" w:cs="Calibri"/>
                <w:bCs/>
                <w:sz w:val="20"/>
                <w:szCs w:val="20"/>
              </w:rPr>
              <w:t>Supplemental</w:t>
            </w:r>
          </w:p>
        </w:tc>
        <w:tc>
          <w:tcPr>
            <w:tcW w:w="1530" w:type="dxa"/>
            <w:tcBorders>
              <w:top w:val="single" w:sz="4" w:space="0" w:color="auto"/>
              <w:left w:val="single" w:sz="4" w:space="0" w:color="auto"/>
              <w:bottom w:val="single" w:sz="4" w:space="0" w:color="auto"/>
              <w:right w:val="single" w:sz="4" w:space="0" w:color="auto"/>
            </w:tcBorders>
            <w:shd w:val="clear" w:color="000000" w:fill="FFFFFF"/>
            <w:hideMark/>
          </w:tcPr>
          <w:p w:rsidR="00EA2419" w:rsidRPr="00EA2419" w:rsidRDefault="00EA2419" w:rsidP="00EA2419">
            <w:pPr>
              <w:spacing w:after="0" w:line="240" w:lineRule="auto"/>
              <w:rPr>
                <w:rFonts w:eastAsia="Times New Roman" w:cs="Calibri"/>
                <w:bCs/>
                <w:sz w:val="20"/>
                <w:szCs w:val="20"/>
              </w:rPr>
            </w:pPr>
            <w:r w:rsidRPr="00EA2419">
              <w:rPr>
                <w:rFonts w:eastAsia="Times New Roman" w:cs="Calibri"/>
                <w:bCs/>
                <w:sz w:val="20"/>
                <w:szCs w:val="20"/>
              </w:rPr>
              <w:t>Supplemental</w:t>
            </w:r>
          </w:p>
        </w:tc>
      </w:tr>
      <w:tr w:rsidR="00EA2419" w:rsidRPr="00EA2419" w:rsidTr="006C4F95">
        <w:trPr>
          <w:cantSplit/>
          <w:trHeight w:val="600"/>
        </w:trPr>
        <w:tc>
          <w:tcPr>
            <w:tcW w:w="1890" w:type="dxa"/>
            <w:tcBorders>
              <w:top w:val="single" w:sz="4" w:space="0" w:color="auto"/>
              <w:left w:val="single" w:sz="4" w:space="0" w:color="auto"/>
              <w:bottom w:val="single" w:sz="4" w:space="0" w:color="auto"/>
              <w:right w:val="single" w:sz="4" w:space="0" w:color="auto"/>
            </w:tcBorders>
            <w:shd w:val="clear" w:color="000000" w:fill="FFFFFF"/>
            <w:hideMark/>
          </w:tcPr>
          <w:p w:rsidR="00EA2419" w:rsidRPr="00EA2419" w:rsidRDefault="00EA2419" w:rsidP="00EA2419">
            <w:pPr>
              <w:spacing w:after="0" w:line="240" w:lineRule="auto"/>
              <w:rPr>
                <w:rFonts w:eastAsia="Times New Roman" w:cs="Calibri"/>
                <w:bCs/>
                <w:sz w:val="20"/>
                <w:szCs w:val="20"/>
              </w:rPr>
            </w:pPr>
            <w:r w:rsidRPr="00EA2419">
              <w:rPr>
                <w:rFonts w:eastAsia="Times New Roman" w:cs="Calibri"/>
                <w:bCs/>
                <w:sz w:val="20"/>
                <w:szCs w:val="20"/>
              </w:rPr>
              <w:t xml:space="preserve">Beery-Buktenica Developmental Test of Visual-Motor Integration, 6th edition (Beery VMI) </w:t>
            </w:r>
          </w:p>
        </w:tc>
        <w:tc>
          <w:tcPr>
            <w:tcW w:w="1170" w:type="dxa"/>
            <w:tcBorders>
              <w:top w:val="single" w:sz="4" w:space="0" w:color="auto"/>
              <w:left w:val="nil"/>
              <w:bottom w:val="single" w:sz="4" w:space="0" w:color="auto"/>
              <w:right w:val="single" w:sz="4" w:space="0" w:color="auto"/>
            </w:tcBorders>
            <w:shd w:val="clear" w:color="000000" w:fill="FFFFFF"/>
            <w:hideMark/>
          </w:tcPr>
          <w:p w:rsidR="00EA2419" w:rsidRPr="00EA2419" w:rsidRDefault="00EA2419" w:rsidP="00EA2419">
            <w:pPr>
              <w:spacing w:after="0" w:line="240" w:lineRule="auto"/>
              <w:rPr>
                <w:rFonts w:eastAsia="Times New Roman" w:cs="Calibri"/>
                <w:bCs/>
                <w:sz w:val="20"/>
                <w:szCs w:val="20"/>
              </w:rPr>
            </w:pPr>
            <w:r w:rsidRPr="00EA2419">
              <w:rPr>
                <w:rFonts w:eastAsia="Times New Roman" w:cs="Calibri"/>
                <w:bCs/>
                <w:sz w:val="20"/>
                <w:szCs w:val="20"/>
              </w:rPr>
              <w:t>Pediatric TBI</w:t>
            </w:r>
          </w:p>
        </w:tc>
        <w:tc>
          <w:tcPr>
            <w:tcW w:w="1530" w:type="dxa"/>
            <w:tcBorders>
              <w:top w:val="single" w:sz="4" w:space="0" w:color="auto"/>
              <w:left w:val="nil"/>
              <w:bottom w:val="single" w:sz="4" w:space="0" w:color="auto"/>
              <w:right w:val="single" w:sz="4" w:space="0" w:color="auto"/>
            </w:tcBorders>
            <w:shd w:val="clear" w:color="000000" w:fill="FFFFFF"/>
            <w:hideMark/>
          </w:tcPr>
          <w:p w:rsidR="00EA2419" w:rsidRPr="00EA2419" w:rsidRDefault="00EA2419" w:rsidP="00EA2419">
            <w:pPr>
              <w:spacing w:after="0" w:line="240" w:lineRule="auto"/>
              <w:rPr>
                <w:rFonts w:eastAsia="Times New Roman" w:cs="Calibri"/>
                <w:bCs/>
                <w:sz w:val="20"/>
                <w:szCs w:val="20"/>
              </w:rPr>
            </w:pPr>
            <w:r w:rsidRPr="00EA2419">
              <w:rPr>
                <w:rFonts w:eastAsia="Times New Roman" w:cs="Calibri"/>
                <w:bCs/>
                <w:sz w:val="20"/>
                <w:szCs w:val="20"/>
              </w:rPr>
              <w:t>Supplemental</w:t>
            </w:r>
          </w:p>
        </w:tc>
        <w:tc>
          <w:tcPr>
            <w:tcW w:w="1530" w:type="dxa"/>
            <w:tcBorders>
              <w:top w:val="single" w:sz="4" w:space="0" w:color="auto"/>
              <w:left w:val="nil"/>
              <w:bottom w:val="single" w:sz="4" w:space="0" w:color="auto"/>
              <w:right w:val="single" w:sz="4" w:space="0" w:color="auto"/>
            </w:tcBorders>
            <w:shd w:val="clear" w:color="000000" w:fill="FFFFFF"/>
            <w:hideMark/>
          </w:tcPr>
          <w:p w:rsidR="00EA2419" w:rsidRPr="00EA2419" w:rsidRDefault="00EA2419" w:rsidP="00EA2419">
            <w:pPr>
              <w:spacing w:after="0" w:line="240" w:lineRule="auto"/>
              <w:rPr>
                <w:rFonts w:eastAsia="Times New Roman" w:cs="Calibri"/>
                <w:bCs/>
                <w:sz w:val="20"/>
                <w:szCs w:val="20"/>
              </w:rPr>
            </w:pPr>
            <w:r w:rsidRPr="00EA2419">
              <w:rPr>
                <w:rFonts w:eastAsia="Times New Roman" w:cs="Calibri"/>
                <w:bCs/>
                <w:sz w:val="20"/>
                <w:szCs w:val="20"/>
              </w:rPr>
              <w:t>Supplemental</w:t>
            </w:r>
          </w:p>
        </w:tc>
        <w:tc>
          <w:tcPr>
            <w:tcW w:w="1530" w:type="dxa"/>
            <w:tcBorders>
              <w:top w:val="single" w:sz="4" w:space="0" w:color="auto"/>
              <w:left w:val="nil"/>
              <w:bottom w:val="single" w:sz="4" w:space="0" w:color="auto"/>
              <w:right w:val="single" w:sz="4" w:space="0" w:color="auto"/>
            </w:tcBorders>
            <w:shd w:val="clear" w:color="000000" w:fill="FFFFFF"/>
          </w:tcPr>
          <w:p w:rsidR="00EA2419" w:rsidRPr="00EA2419" w:rsidRDefault="00EA2419" w:rsidP="00EA2419">
            <w:pPr>
              <w:spacing w:after="0" w:line="240" w:lineRule="auto"/>
              <w:rPr>
                <w:rFonts w:eastAsia="Times New Roman" w:cs="Calibri"/>
                <w:bCs/>
                <w:sz w:val="20"/>
                <w:szCs w:val="20"/>
              </w:rPr>
            </w:pPr>
            <w:r w:rsidRPr="00EA2419">
              <w:rPr>
                <w:rFonts w:eastAsia="Times New Roman" w:cs="Calibri"/>
                <w:bCs/>
                <w:sz w:val="20"/>
                <w:szCs w:val="20"/>
              </w:rPr>
              <w:t>Supplemental</w:t>
            </w:r>
          </w:p>
        </w:tc>
        <w:tc>
          <w:tcPr>
            <w:tcW w:w="1530" w:type="dxa"/>
            <w:tcBorders>
              <w:top w:val="single" w:sz="4" w:space="0" w:color="auto"/>
              <w:left w:val="single" w:sz="4" w:space="0" w:color="auto"/>
              <w:bottom w:val="single" w:sz="4" w:space="0" w:color="auto"/>
              <w:right w:val="single" w:sz="4" w:space="0" w:color="auto"/>
            </w:tcBorders>
            <w:shd w:val="clear" w:color="000000" w:fill="FFFFFF"/>
            <w:hideMark/>
          </w:tcPr>
          <w:p w:rsidR="00EA2419" w:rsidRPr="00EA2419" w:rsidRDefault="00EA2419" w:rsidP="00EA2419">
            <w:pPr>
              <w:spacing w:after="0" w:line="240" w:lineRule="auto"/>
              <w:rPr>
                <w:rFonts w:eastAsia="Times New Roman" w:cs="Calibri"/>
                <w:bCs/>
                <w:sz w:val="20"/>
                <w:szCs w:val="20"/>
              </w:rPr>
            </w:pPr>
            <w:r w:rsidRPr="00EA2419">
              <w:rPr>
                <w:rFonts w:eastAsia="Times New Roman" w:cs="Calibri"/>
                <w:bCs/>
                <w:sz w:val="20"/>
                <w:szCs w:val="20"/>
              </w:rPr>
              <w:t>Supplemental</w:t>
            </w:r>
          </w:p>
        </w:tc>
      </w:tr>
      <w:tr w:rsidR="00EA2419" w:rsidRPr="00EA2419" w:rsidTr="006C4F95">
        <w:trPr>
          <w:cantSplit/>
          <w:trHeight w:val="600"/>
        </w:trPr>
        <w:tc>
          <w:tcPr>
            <w:tcW w:w="1890" w:type="dxa"/>
            <w:tcBorders>
              <w:top w:val="single" w:sz="4" w:space="0" w:color="auto"/>
              <w:left w:val="single" w:sz="4" w:space="0" w:color="auto"/>
              <w:bottom w:val="single" w:sz="4" w:space="0" w:color="auto"/>
              <w:right w:val="single" w:sz="4" w:space="0" w:color="auto"/>
            </w:tcBorders>
            <w:shd w:val="clear" w:color="000000" w:fill="FFFFFF"/>
            <w:hideMark/>
          </w:tcPr>
          <w:p w:rsidR="00EA2419" w:rsidRPr="00EA2419" w:rsidRDefault="00EA2419" w:rsidP="00C40402">
            <w:pPr>
              <w:spacing w:after="0" w:line="240" w:lineRule="auto"/>
              <w:rPr>
                <w:rFonts w:eastAsia="Times New Roman" w:cs="Calibri"/>
                <w:bCs/>
                <w:sz w:val="20"/>
                <w:szCs w:val="20"/>
              </w:rPr>
            </w:pPr>
            <w:r w:rsidRPr="00EA2419">
              <w:rPr>
                <w:rFonts w:eastAsia="Times New Roman" w:cs="Calibri"/>
                <w:bCs/>
                <w:sz w:val="20"/>
                <w:szCs w:val="20"/>
              </w:rPr>
              <w:t>Behavior Rating Inventory of Executive Function (BRIEF)</w:t>
            </w:r>
          </w:p>
        </w:tc>
        <w:tc>
          <w:tcPr>
            <w:tcW w:w="1170" w:type="dxa"/>
            <w:tcBorders>
              <w:top w:val="single" w:sz="4" w:space="0" w:color="auto"/>
              <w:left w:val="nil"/>
              <w:bottom w:val="single" w:sz="4" w:space="0" w:color="auto"/>
              <w:right w:val="single" w:sz="4" w:space="0" w:color="auto"/>
            </w:tcBorders>
            <w:shd w:val="clear" w:color="000000" w:fill="FFFFFF"/>
            <w:hideMark/>
          </w:tcPr>
          <w:p w:rsidR="00EA2419" w:rsidRPr="00EA2419" w:rsidRDefault="00EA2419" w:rsidP="00EA2419">
            <w:pPr>
              <w:spacing w:after="0" w:line="240" w:lineRule="auto"/>
              <w:rPr>
                <w:rFonts w:eastAsia="Times New Roman" w:cs="Calibri"/>
                <w:bCs/>
                <w:sz w:val="20"/>
                <w:szCs w:val="20"/>
              </w:rPr>
            </w:pPr>
            <w:r w:rsidRPr="00EA2419">
              <w:rPr>
                <w:rFonts w:eastAsia="Times New Roman" w:cs="Calibri"/>
                <w:bCs/>
                <w:sz w:val="20"/>
                <w:szCs w:val="20"/>
              </w:rPr>
              <w:t>Pediatric TBI</w:t>
            </w:r>
          </w:p>
        </w:tc>
        <w:tc>
          <w:tcPr>
            <w:tcW w:w="1530" w:type="dxa"/>
            <w:tcBorders>
              <w:top w:val="single" w:sz="4" w:space="0" w:color="auto"/>
              <w:left w:val="nil"/>
              <w:bottom w:val="single" w:sz="4" w:space="0" w:color="auto"/>
              <w:right w:val="single" w:sz="4" w:space="0" w:color="auto"/>
            </w:tcBorders>
            <w:shd w:val="clear" w:color="000000" w:fill="FFFFFF"/>
            <w:hideMark/>
          </w:tcPr>
          <w:p w:rsidR="00EA2419" w:rsidRPr="00EA2419" w:rsidRDefault="00EA2419" w:rsidP="00EA2419">
            <w:pPr>
              <w:spacing w:after="0" w:line="240" w:lineRule="auto"/>
              <w:rPr>
                <w:rFonts w:eastAsia="Times New Roman" w:cs="Calibri"/>
                <w:bCs/>
                <w:sz w:val="20"/>
                <w:szCs w:val="20"/>
              </w:rPr>
            </w:pPr>
            <w:r w:rsidRPr="00EA2419">
              <w:rPr>
                <w:rFonts w:eastAsia="Times New Roman" w:cs="Calibri"/>
                <w:bCs/>
                <w:sz w:val="20"/>
                <w:szCs w:val="20"/>
              </w:rPr>
              <w:t>Supplemental</w:t>
            </w:r>
          </w:p>
        </w:tc>
        <w:tc>
          <w:tcPr>
            <w:tcW w:w="1530" w:type="dxa"/>
            <w:tcBorders>
              <w:top w:val="single" w:sz="4" w:space="0" w:color="auto"/>
              <w:left w:val="nil"/>
              <w:bottom w:val="single" w:sz="4" w:space="0" w:color="auto"/>
              <w:right w:val="single" w:sz="4" w:space="0" w:color="auto"/>
            </w:tcBorders>
            <w:shd w:val="clear" w:color="000000" w:fill="FFFFFF"/>
            <w:hideMark/>
          </w:tcPr>
          <w:p w:rsidR="00EA2419" w:rsidRPr="00EA2419" w:rsidRDefault="00EA2419" w:rsidP="00EA2419">
            <w:pPr>
              <w:spacing w:after="0" w:line="240" w:lineRule="auto"/>
              <w:rPr>
                <w:rFonts w:eastAsia="Times New Roman" w:cs="Calibri"/>
                <w:bCs/>
                <w:sz w:val="20"/>
                <w:szCs w:val="20"/>
              </w:rPr>
            </w:pPr>
            <w:r w:rsidRPr="00EA2419">
              <w:rPr>
                <w:rFonts w:eastAsia="Times New Roman" w:cs="Calibri"/>
                <w:bCs/>
                <w:sz w:val="20"/>
                <w:szCs w:val="20"/>
              </w:rPr>
              <w:t>Supplemental</w:t>
            </w:r>
          </w:p>
        </w:tc>
        <w:tc>
          <w:tcPr>
            <w:tcW w:w="1530" w:type="dxa"/>
            <w:tcBorders>
              <w:top w:val="single" w:sz="4" w:space="0" w:color="auto"/>
              <w:left w:val="nil"/>
              <w:bottom w:val="single" w:sz="4" w:space="0" w:color="auto"/>
              <w:right w:val="single" w:sz="4" w:space="0" w:color="auto"/>
            </w:tcBorders>
            <w:shd w:val="clear" w:color="000000" w:fill="FFFFFF"/>
          </w:tcPr>
          <w:p w:rsidR="00EA2419" w:rsidRPr="00EA2419" w:rsidRDefault="00EA2419" w:rsidP="00EA2419">
            <w:pPr>
              <w:spacing w:after="0" w:line="240" w:lineRule="auto"/>
              <w:rPr>
                <w:rFonts w:eastAsia="Times New Roman" w:cs="Calibri"/>
                <w:bCs/>
                <w:sz w:val="20"/>
                <w:szCs w:val="20"/>
              </w:rPr>
            </w:pPr>
            <w:r w:rsidRPr="00EA2419">
              <w:rPr>
                <w:rFonts w:eastAsia="Times New Roman" w:cs="Calibri"/>
                <w:bCs/>
                <w:sz w:val="20"/>
                <w:szCs w:val="20"/>
              </w:rPr>
              <w:t>Supplemental</w:t>
            </w:r>
          </w:p>
        </w:tc>
        <w:tc>
          <w:tcPr>
            <w:tcW w:w="1530" w:type="dxa"/>
            <w:tcBorders>
              <w:top w:val="single" w:sz="4" w:space="0" w:color="auto"/>
              <w:left w:val="single" w:sz="4" w:space="0" w:color="auto"/>
              <w:bottom w:val="single" w:sz="4" w:space="0" w:color="auto"/>
              <w:right w:val="single" w:sz="4" w:space="0" w:color="auto"/>
            </w:tcBorders>
            <w:shd w:val="clear" w:color="000000" w:fill="FFFFFF"/>
            <w:hideMark/>
          </w:tcPr>
          <w:p w:rsidR="00EA2419" w:rsidRPr="00EA2419" w:rsidRDefault="00EA2419" w:rsidP="00EA2419">
            <w:pPr>
              <w:spacing w:after="0" w:line="240" w:lineRule="auto"/>
              <w:rPr>
                <w:rFonts w:eastAsia="Times New Roman" w:cs="Calibri"/>
                <w:bCs/>
                <w:sz w:val="20"/>
                <w:szCs w:val="20"/>
              </w:rPr>
            </w:pPr>
            <w:r w:rsidRPr="00EA2419">
              <w:rPr>
                <w:rFonts w:eastAsia="Times New Roman" w:cs="Calibri"/>
                <w:bCs/>
                <w:sz w:val="20"/>
                <w:szCs w:val="20"/>
              </w:rPr>
              <w:t>Supplemental</w:t>
            </w:r>
          </w:p>
        </w:tc>
      </w:tr>
      <w:tr w:rsidR="00EA2419" w:rsidRPr="00EA2419" w:rsidTr="006C4F95">
        <w:trPr>
          <w:cantSplit/>
          <w:trHeight w:val="600"/>
        </w:trPr>
        <w:tc>
          <w:tcPr>
            <w:tcW w:w="1890" w:type="dxa"/>
            <w:tcBorders>
              <w:top w:val="single" w:sz="4" w:space="0" w:color="auto"/>
              <w:left w:val="single" w:sz="4" w:space="0" w:color="auto"/>
              <w:bottom w:val="single" w:sz="4" w:space="0" w:color="auto"/>
              <w:right w:val="single" w:sz="4" w:space="0" w:color="auto"/>
            </w:tcBorders>
            <w:shd w:val="clear" w:color="000000" w:fill="FFFFFF"/>
            <w:hideMark/>
          </w:tcPr>
          <w:p w:rsidR="00EA2419" w:rsidRPr="00EA2419" w:rsidRDefault="00EA2419" w:rsidP="00EA2419">
            <w:pPr>
              <w:spacing w:after="0" w:line="240" w:lineRule="auto"/>
              <w:rPr>
                <w:rFonts w:eastAsia="Times New Roman" w:cs="Calibri"/>
                <w:bCs/>
                <w:sz w:val="20"/>
                <w:szCs w:val="20"/>
              </w:rPr>
            </w:pPr>
            <w:r w:rsidRPr="00EA2419">
              <w:rPr>
                <w:rFonts w:eastAsia="Times New Roman" w:cs="Calibri"/>
                <w:bCs/>
                <w:sz w:val="20"/>
                <w:szCs w:val="20"/>
              </w:rPr>
              <w:t>Brief Visuospatial Memory Test – Revised (BVMT-R)</w:t>
            </w:r>
          </w:p>
        </w:tc>
        <w:tc>
          <w:tcPr>
            <w:tcW w:w="1170" w:type="dxa"/>
            <w:tcBorders>
              <w:top w:val="single" w:sz="4" w:space="0" w:color="auto"/>
              <w:left w:val="nil"/>
              <w:bottom w:val="single" w:sz="4" w:space="0" w:color="auto"/>
              <w:right w:val="single" w:sz="4" w:space="0" w:color="auto"/>
            </w:tcBorders>
            <w:shd w:val="clear" w:color="000000" w:fill="FFFFFF"/>
            <w:hideMark/>
          </w:tcPr>
          <w:p w:rsidR="00EA2419" w:rsidRPr="00EA2419" w:rsidRDefault="00EA2419" w:rsidP="00EA2419">
            <w:pPr>
              <w:spacing w:after="0" w:line="240" w:lineRule="auto"/>
              <w:rPr>
                <w:rFonts w:eastAsia="Times New Roman" w:cs="Calibri"/>
                <w:bCs/>
                <w:sz w:val="20"/>
                <w:szCs w:val="20"/>
              </w:rPr>
            </w:pPr>
            <w:r w:rsidRPr="00EA2419">
              <w:rPr>
                <w:rFonts w:eastAsia="Times New Roman" w:cs="Calibri"/>
                <w:bCs/>
                <w:sz w:val="20"/>
                <w:szCs w:val="20"/>
              </w:rPr>
              <w:t>Adult TBI</w:t>
            </w:r>
          </w:p>
        </w:tc>
        <w:tc>
          <w:tcPr>
            <w:tcW w:w="1530" w:type="dxa"/>
            <w:tcBorders>
              <w:top w:val="single" w:sz="4" w:space="0" w:color="auto"/>
              <w:left w:val="nil"/>
              <w:bottom w:val="single" w:sz="4" w:space="0" w:color="auto"/>
              <w:right w:val="single" w:sz="4" w:space="0" w:color="auto"/>
            </w:tcBorders>
            <w:shd w:val="clear" w:color="000000" w:fill="FFFFFF"/>
            <w:hideMark/>
          </w:tcPr>
          <w:p w:rsidR="00EA2419" w:rsidRPr="00EA2419" w:rsidRDefault="00EA2419" w:rsidP="00EA2419">
            <w:pPr>
              <w:spacing w:after="0" w:line="240" w:lineRule="auto"/>
              <w:rPr>
                <w:rFonts w:eastAsia="Times New Roman" w:cs="Calibri"/>
                <w:bCs/>
                <w:sz w:val="20"/>
                <w:szCs w:val="20"/>
              </w:rPr>
            </w:pPr>
            <w:r w:rsidRPr="00EA2419">
              <w:rPr>
                <w:rFonts w:eastAsia="Times New Roman" w:cs="Calibri"/>
                <w:bCs/>
                <w:sz w:val="20"/>
                <w:szCs w:val="20"/>
              </w:rPr>
              <w:t>Supplemental</w:t>
            </w:r>
          </w:p>
        </w:tc>
        <w:tc>
          <w:tcPr>
            <w:tcW w:w="1530" w:type="dxa"/>
            <w:tcBorders>
              <w:top w:val="single" w:sz="4" w:space="0" w:color="auto"/>
              <w:left w:val="nil"/>
              <w:bottom w:val="single" w:sz="4" w:space="0" w:color="auto"/>
              <w:right w:val="single" w:sz="4" w:space="0" w:color="auto"/>
            </w:tcBorders>
            <w:shd w:val="clear" w:color="000000" w:fill="FFFFFF"/>
            <w:hideMark/>
          </w:tcPr>
          <w:p w:rsidR="00EA2419" w:rsidRPr="00EA2419" w:rsidRDefault="00EA2419" w:rsidP="00EA2419">
            <w:pPr>
              <w:spacing w:after="0" w:line="240" w:lineRule="auto"/>
              <w:rPr>
                <w:rFonts w:eastAsia="Times New Roman" w:cs="Calibri"/>
                <w:bCs/>
                <w:sz w:val="20"/>
                <w:szCs w:val="20"/>
              </w:rPr>
            </w:pPr>
            <w:r w:rsidRPr="00EA2419">
              <w:rPr>
                <w:rFonts w:eastAsia="Times New Roman" w:cs="Calibri"/>
                <w:bCs/>
                <w:sz w:val="20"/>
                <w:szCs w:val="20"/>
              </w:rPr>
              <w:t>Supplemental</w:t>
            </w:r>
          </w:p>
        </w:tc>
        <w:tc>
          <w:tcPr>
            <w:tcW w:w="1530" w:type="dxa"/>
            <w:tcBorders>
              <w:top w:val="single" w:sz="4" w:space="0" w:color="auto"/>
              <w:left w:val="nil"/>
              <w:bottom w:val="single" w:sz="4" w:space="0" w:color="auto"/>
              <w:right w:val="single" w:sz="4" w:space="0" w:color="auto"/>
            </w:tcBorders>
            <w:shd w:val="clear" w:color="000000" w:fill="FFFFFF"/>
          </w:tcPr>
          <w:p w:rsidR="00EA2419" w:rsidRPr="00EA2419" w:rsidRDefault="00EA2419" w:rsidP="00EA2419">
            <w:pPr>
              <w:spacing w:after="0" w:line="240" w:lineRule="auto"/>
              <w:rPr>
                <w:rFonts w:eastAsia="Times New Roman" w:cs="Calibri"/>
                <w:bCs/>
                <w:sz w:val="20"/>
                <w:szCs w:val="20"/>
              </w:rPr>
            </w:pPr>
            <w:r w:rsidRPr="00EA2419">
              <w:rPr>
                <w:rFonts w:eastAsia="Times New Roman" w:cs="Calibri"/>
                <w:bCs/>
                <w:sz w:val="20"/>
                <w:szCs w:val="20"/>
              </w:rPr>
              <w:t>Supplemental</w:t>
            </w:r>
          </w:p>
        </w:tc>
        <w:tc>
          <w:tcPr>
            <w:tcW w:w="1530" w:type="dxa"/>
            <w:tcBorders>
              <w:top w:val="single" w:sz="4" w:space="0" w:color="auto"/>
              <w:left w:val="single" w:sz="4" w:space="0" w:color="auto"/>
              <w:bottom w:val="single" w:sz="4" w:space="0" w:color="auto"/>
              <w:right w:val="single" w:sz="4" w:space="0" w:color="auto"/>
            </w:tcBorders>
            <w:shd w:val="clear" w:color="000000" w:fill="FFFFFF"/>
            <w:hideMark/>
          </w:tcPr>
          <w:p w:rsidR="00EA2419" w:rsidRPr="00EA2419" w:rsidRDefault="00EA2419" w:rsidP="00EA2419">
            <w:pPr>
              <w:spacing w:after="0" w:line="240" w:lineRule="auto"/>
              <w:rPr>
                <w:rFonts w:eastAsia="Times New Roman" w:cs="Calibri"/>
                <w:bCs/>
                <w:sz w:val="20"/>
                <w:szCs w:val="20"/>
              </w:rPr>
            </w:pPr>
            <w:r w:rsidRPr="00EA2419">
              <w:rPr>
                <w:rFonts w:eastAsia="Times New Roman" w:cs="Calibri"/>
                <w:bCs/>
                <w:sz w:val="20"/>
                <w:szCs w:val="20"/>
              </w:rPr>
              <w:t>Supplemental</w:t>
            </w:r>
          </w:p>
        </w:tc>
      </w:tr>
      <w:tr w:rsidR="00EA2419" w:rsidRPr="00EA2419" w:rsidTr="006C4F95">
        <w:trPr>
          <w:cantSplit/>
          <w:trHeight w:val="600"/>
        </w:trPr>
        <w:tc>
          <w:tcPr>
            <w:tcW w:w="1890" w:type="dxa"/>
            <w:tcBorders>
              <w:top w:val="single" w:sz="4" w:space="0" w:color="auto"/>
              <w:left w:val="single" w:sz="4" w:space="0" w:color="auto"/>
              <w:bottom w:val="single" w:sz="4" w:space="0" w:color="auto"/>
              <w:right w:val="single" w:sz="4" w:space="0" w:color="auto"/>
            </w:tcBorders>
            <w:shd w:val="clear" w:color="000000" w:fill="FFFFFF"/>
            <w:hideMark/>
          </w:tcPr>
          <w:p w:rsidR="00EA2419" w:rsidRPr="00EA2419" w:rsidRDefault="00EA2419" w:rsidP="00EA2419">
            <w:pPr>
              <w:spacing w:after="0" w:line="240" w:lineRule="auto"/>
              <w:rPr>
                <w:rFonts w:eastAsia="Times New Roman" w:cs="Calibri"/>
                <w:bCs/>
                <w:sz w:val="20"/>
                <w:szCs w:val="20"/>
              </w:rPr>
            </w:pPr>
            <w:r w:rsidRPr="00EA2419">
              <w:rPr>
                <w:rFonts w:eastAsia="Times New Roman" w:cs="Calibri"/>
                <w:bCs/>
                <w:sz w:val="20"/>
                <w:szCs w:val="20"/>
              </w:rPr>
              <w:t xml:space="preserve">California Verbal Learning Test for Children (CVLT-C) </w:t>
            </w:r>
          </w:p>
        </w:tc>
        <w:tc>
          <w:tcPr>
            <w:tcW w:w="1170" w:type="dxa"/>
            <w:tcBorders>
              <w:top w:val="single" w:sz="4" w:space="0" w:color="auto"/>
              <w:left w:val="nil"/>
              <w:bottom w:val="single" w:sz="4" w:space="0" w:color="auto"/>
              <w:right w:val="single" w:sz="4" w:space="0" w:color="auto"/>
            </w:tcBorders>
            <w:shd w:val="clear" w:color="000000" w:fill="FFFFFF"/>
            <w:hideMark/>
          </w:tcPr>
          <w:p w:rsidR="00EA2419" w:rsidRPr="00EA2419" w:rsidRDefault="00EA2419" w:rsidP="00EA2419">
            <w:pPr>
              <w:spacing w:after="0" w:line="240" w:lineRule="auto"/>
              <w:rPr>
                <w:rFonts w:eastAsia="Times New Roman" w:cs="Calibri"/>
                <w:bCs/>
                <w:sz w:val="20"/>
                <w:szCs w:val="20"/>
              </w:rPr>
            </w:pPr>
            <w:r w:rsidRPr="00EA2419">
              <w:rPr>
                <w:rFonts w:eastAsia="Times New Roman" w:cs="Calibri"/>
                <w:bCs/>
                <w:sz w:val="20"/>
                <w:szCs w:val="20"/>
              </w:rPr>
              <w:t>Pediatric TBI</w:t>
            </w:r>
          </w:p>
        </w:tc>
        <w:tc>
          <w:tcPr>
            <w:tcW w:w="1530" w:type="dxa"/>
            <w:tcBorders>
              <w:top w:val="single" w:sz="4" w:space="0" w:color="auto"/>
              <w:left w:val="nil"/>
              <w:bottom w:val="single" w:sz="4" w:space="0" w:color="auto"/>
              <w:right w:val="single" w:sz="4" w:space="0" w:color="auto"/>
            </w:tcBorders>
            <w:shd w:val="clear" w:color="000000" w:fill="FFFFFF"/>
            <w:hideMark/>
          </w:tcPr>
          <w:p w:rsidR="00EA2419" w:rsidRPr="00EA2419" w:rsidRDefault="00EA2419" w:rsidP="00EA2419">
            <w:pPr>
              <w:spacing w:after="0" w:line="240" w:lineRule="auto"/>
              <w:rPr>
                <w:rFonts w:eastAsia="Times New Roman" w:cs="Calibri"/>
                <w:bCs/>
                <w:sz w:val="20"/>
                <w:szCs w:val="20"/>
              </w:rPr>
            </w:pPr>
            <w:r w:rsidRPr="00EA2419">
              <w:rPr>
                <w:rFonts w:eastAsia="Times New Roman" w:cs="Calibri"/>
                <w:bCs/>
                <w:sz w:val="20"/>
                <w:szCs w:val="20"/>
              </w:rPr>
              <w:t>Basic</w:t>
            </w:r>
          </w:p>
        </w:tc>
        <w:tc>
          <w:tcPr>
            <w:tcW w:w="1530" w:type="dxa"/>
            <w:tcBorders>
              <w:top w:val="single" w:sz="4" w:space="0" w:color="auto"/>
              <w:left w:val="nil"/>
              <w:bottom w:val="single" w:sz="4" w:space="0" w:color="auto"/>
              <w:right w:val="single" w:sz="4" w:space="0" w:color="auto"/>
            </w:tcBorders>
            <w:shd w:val="clear" w:color="000000" w:fill="FFFFFF"/>
            <w:hideMark/>
          </w:tcPr>
          <w:p w:rsidR="00EA2419" w:rsidRPr="00EA2419" w:rsidRDefault="00EA2419" w:rsidP="00EA2419">
            <w:pPr>
              <w:spacing w:after="0" w:line="240" w:lineRule="auto"/>
              <w:rPr>
                <w:rFonts w:eastAsia="Times New Roman" w:cs="Calibri"/>
                <w:bCs/>
                <w:sz w:val="20"/>
                <w:szCs w:val="20"/>
              </w:rPr>
            </w:pPr>
            <w:r w:rsidRPr="00EA2419">
              <w:rPr>
                <w:rFonts w:eastAsia="Times New Roman" w:cs="Calibri"/>
                <w:bCs/>
                <w:sz w:val="20"/>
                <w:szCs w:val="20"/>
              </w:rPr>
              <w:t>Basic</w:t>
            </w:r>
          </w:p>
        </w:tc>
        <w:tc>
          <w:tcPr>
            <w:tcW w:w="1530" w:type="dxa"/>
            <w:tcBorders>
              <w:top w:val="single" w:sz="4" w:space="0" w:color="auto"/>
              <w:left w:val="nil"/>
              <w:bottom w:val="single" w:sz="4" w:space="0" w:color="auto"/>
              <w:right w:val="single" w:sz="4" w:space="0" w:color="auto"/>
            </w:tcBorders>
            <w:shd w:val="clear" w:color="000000" w:fill="FFFFFF"/>
          </w:tcPr>
          <w:p w:rsidR="00EA2419" w:rsidRPr="00EA2419" w:rsidRDefault="00EA2419" w:rsidP="00EA2419">
            <w:pPr>
              <w:spacing w:after="0" w:line="240" w:lineRule="auto"/>
              <w:rPr>
                <w:rFonts w:eastAsia="Times New Roman" w:cs="Calibri"/>
                <w:bCs/>
                <w:sz w:val="20"/>
                <w:szCs w:val="20"/>
              </w:rPr>
            </w:pPr>
            <w:r w:rsidRPr="00EA2419">
              <w:rPr>
                <w:rFonts w:eastAsia="Times New Roman" w:cs="Calibri"/>
                <w:bCs/>
                <w:sz w:val="20"/>
                <w:szCs w:val="20"/>
              </w:rPr>
              <w:t>Basic</w:t>
            </w:r>
          </w:p>
        </w:tc>
        <w:tc>
          <w:tcPr>
            <w:tcW w:w="1530" w:type="dxa"/>
            <w:tcBorders>
              <w:top w:val="single" w:sz="4" w:space="0" w:color="auto"/>
              <w:left w:val="single" w:sz="4" w:space="0" w:color="auto"/>
              <w:bottom w:val="single" w:sz="4" w:space="0" w:color="auto"/>
              <w:right w:val="single" w:sz="4" w:space="0" w:color="auto"/>
            </w:tcBorders>
            <w:shd w:val="clear" w:color="000000" w:fill="FFFFFF"/>
            <w:hideMark/>
          </w:tcPr>
          <w:p w:rsidR="00EA2419" w:rsidRPr="00EA2419" w:rsidRDefault="00EA2419" w:rsidP="00EA2419">
            <w:pPr>
              <w:spacing w:after="0" w:line="240" w:lineRule="auto"/>
              <w:rPr>
                <w:rFonts w:eastAsia="Times New Roman" w:cs="Calibri"/>
                <w:bCs/>
                <w:sz w:val="20"/>
                <w:szCs w:val="20"/>
              </w:rPr>
            </w:pPr>
            <w:r w:rsidRPr="00EA2419">
              <w:rPr>
                <w:rFonts w:eastAsia="Times New Roman" w:cs="Calibri"/>
                <w:bCs/>
                <w:sz w:val="20"/>
                <w:szCs w:val="20"/>
              </w:rPr>
              <w:t>Supplemental</w:t>
            </w:r>
          </w:p>
        </w:tc>
      </w:tr>
      <w:tr w:rsidR="00EA2419" w:rsidRPr="00EA2419" w:rsidTr="006C4F95">
        <w:trPr>
          <w:cantSplit/>
          <w:trHeight w:val="600"/>
        </w:trPr>
        <w:tc>
          <w:tcPr>
            <w:tcW w:w="1890" w:type="dxa"/>
            <w:tcBorders>
              <w:top w:val="single" w:sz="4" w:space="0" w:color="auto"/>
              <w:left w:val="single" w:sz="4" w:space="0" w:color="auto"/>
              <w:bottom w:val="single" w:sz="4" w:space="0" w:color="auto"/>
              <w:right w:val="single" w:sz="4" w:space="0" w:color="auto"/>
            </w:tcBorders>
            <w:shd w:val="clear" w:color="000000" w:fill="FFFFFF"/>
            <w:hideMark/>
          </w:tcPr>
          <w:p w:rsidR="00EA2419" w:rsidRPr="00EA2419" w:rsidRDefault="00EA2419" w:rsidP="00EA2419">
            <w:pPr>
              <w:spacing w:after="0" w:line="240" w:lineRule="auto"/>
              <w:rPr>
                <w:rFonts w:eastAsia="Times New Roman" w:cs="Calibri"/>
                <w:bCs/>
                <w:sz w:val="20"/>
                <w:szCs w:val="20"/>
              </w:rPr>
            </w:pPr>
            <w:r w:rsidRPr="00EA2419">
              <w:rPr>
                <w:rFonts w:eastAsia="Times New Roman" w:cs="Calibri"/>
                <w:bCs/>
                <w:sz w:val="20"/>
                <w:szCs w:val="20"/>
              </w:rPr>
              <w:t>Color-Word Interference Test</w:t>
            </w:r>
          </w:p>
        </w:tc>
        <w:tc>
          <w:tcPr>
            <w:tcW w:w="1170" w:type="dxa"/>
            <w:tcBorders>
              <w:top w:val="single" w:sz="4" w:space="0" w:color="auto"/>
              <w:left w:val="nil"/>
              <w:bottom w:val="single" w:sz="4" w:space="0" w:color="auto"/>
              <w:right w:val="single" w:sz="4" w:space="0" w:color="auto"/>
            </w:tcBorders>
            <w:shd w:val="clear" w:color="000000" w:fill="FFFFFF"/>
            <w:hideMark/>
          </w:tcPr>
          <w:p w:rsidR="00EA2419" w:rsidRPr="00EA2419" w:rsidRDefault="00EA2419" w:rsidP="00EA2419">
            <w:pPr>
              <w:spacing w:after="0" w:line="240" w:lineRule="auto"/>
              <w:rPr>
                <w:rFonts w:eastAsia="Times New Roman" w:cs="Calibri"/>
                <w:bCs/>
                <w:sz w:val="20"/>
                <w:szCs w:val="20"/>
              </w:rPr>
            </w:pPr>
            <w:r w:rsidRPr="00EA2419">
              <w:rPr>
                <w:rFonts w:eastAsia="Times New Roman" w:cs="Calibri"/>
                <w:bCs/>
                <w:sz w:val="20"/>
                <w:szCs w:val="20"/>
              </w:rPr>
              <w:t>Adult TBI</w:t>
            </w:r>
          </w:p>
        </w:tc>
        <w:tc>
          <w:tcPr>
            <w:tcW w:w="1530" w:type="dxa"/>
            <w:tcBorders>
              <w:top w:val="single" w:sz="4" w:space="0" w:color="auto"/>
              <w:left w:val="nil"/>
              <w:bottom w:val="single" w:sz="4" w:space="0" w:color="auto"/>
              <w:right w:val="single" w:sz="4" w:space="0" w:color="auto"/>
            </w:tcBorders>
            <w:shd w:val="clear" w:color="000000" w:fill="FFFFFF"/>
            <w:hideMark/>
          </w:tcPr>
          <w:p w:rsidR="00EA2419" w:rsidRPr="00EA2419" w:rsidRDefault="00EA2419" w:rsidP="00EA2419">
            <w:pPr>
              <w:spacing w:after="0" w:line="240" w:lineRule="auto"/>
              <w:rPr>
                <w:rFonts w:eastAsia="Times New Roman" w:cs="Calibri"/>
                <w:bCs/>
                <w:sz w:val="20"/>
                <w:szCs w:val="20"/>
              </w:rPr>
            </w:pPr>
            <w:r w:rsidRPr="00EA2419">
              <w:rPr>
                <w:rFonts w:eastAsia="Times New Roman" w:cs="Calibri"/>
                <w:bCs/>
                <w:sz w:val="20"/>
                <w:szCs w:val="20"/>
              </w:rPr>
              <w:t>Supplemental</w:t>
            </w:r>
          </w:p>
        </w:tc>
        <w:tc>
          <w:tcPr>
            <w:tcW w:w="1530" w:type="dxa"/>
            <w:tcBorders>
              <w:top w:val="single" w:sz="4" w:space="0" w:color="auto"/>
              <w:left w:val="nil"/>
              <w:bottom w:val="single" w:sz="4" w:space="0" w:color="auto"/>
              <w:right w:val="single" w:sz="4" w:space="0" w:color="auto"/>
            </w:tcBorders>
            <w:shd w:val="clear" w:color="000000" w:fill="FFFFFF"/>
            <w:hideMark/>
          </w:tcPr>
          <w:p w:rsidR="00EA2419" w:rsidRPr="00EA2419" w:rsidRDefault="00EA2419" w:rsidP="00EA2419">
            <w:pPr>
              <w:spacing w:after="0" w:line="240" w:lineRule="auto"/>
              <w:rPr>
                <w:rFonts w:eastAsia="Times New Roman" w:cs="Calibri"/>
                <w:bCs/>
                <w:sz w:val="20"/>
                <w:szCs w:val="20"/>
              </w:rPr>
            </w:pPr>
            <w:r w:rsidRPr="00EA2419">
              <w:rPr>
                <w:rFonts w:eastAsia="Times New Roman" w:cs="Calibri"/>
                <w:bCs/>
                <w:sz w:val="20"/>
                <w:szCs w:val="20"/>
              </w:rPr>
              <w:t>Supplemental</w:t>
            </w:r>
          </w:p>
        </w:tc>
        <w:tc>
          <w:tcPr>
            <w:tcW w:w="1530" w:type="dxa"/>
            <w:tcBorders>
              <w:top w:val="single" w:sz="4" w:space="0" w:color="auto"/>
              <w:left w:val="nil"/>
              <w:bottom w:val="single" w:sz="4" w:space="0" w:color="auto"/>
              <w:right w:val="single" w:sz="4" w:space="0" w:color="auto"/>
            </w:tcBorders>
            <w:shd w:val="clear" w:color="000000" w:fill="FFFFFF"/>
          </w:tcPr>
          <w:p w:rsidR="00EA2419" w:rsidRPr="00EA2419" w:rsidRDefault="00EA2419" w:rsidP="00EA2419">
            <w:pPr>
              <w:spacing w:after="0" w:line="240" w:lineRule="auto"/>
              <w:rPr>
                <w:rFonts w:eastAsia="Times New Roman" w:cs="Calibri"/>
                <w:bCs/>
                <w:sz w:val="20"/>
                <w:szCs w:val="20"/>
              </w:rPr>
            </w:pPr>
            <w:r w:rsidRPr="00EA2419">
              <w:rPr>
                <w:rFonts w:eastAsia="Times New Roman" w:cs="Calibri"/>
                <w:bCs/>
                <w:sz w:val="20"/>
                <w:szCs w:val="20"/>
              </w:rPr>
              <w:t>Supplemental</w:t>
            </w:r>
          </w:p>
        </w:tc>
        <w:tc>
          <w:tcPr>
            <w:tcW w:w="1530" w:type="dxa"/>
            <w:tcBorders>
              <w:top w:val="single" w:sz="4" w:space="0" w:color="auto"/>
              <w:left w:val="single" w:sz="4" w:space="0" w:color="auto"/>
              <w:bottom w:val="single" w:sz="4" w:space="0" w:color="auto"/>
              <w:right w:val="single" w:sz="4" w:space="0" w:color="auto"/>
            </w:tcBorders>
            <w:shd w:val="clear" w:color="000000" w:fill="FFFFFF"/>
            <w:hideMark/>
          </w:tcPr>
          <w:p w:rsidR="00EA2419" w:rsidRPr="00EA2419" w:rsidRDefault="00EA2419" w:rsidP="00EA2419">
            <w:pPr>
              <w:spacing w:after="0" w:line="240" w:lineRule="auto"/>
              <w:rPr>
                <w:rFonts w:eastAsia="Times New Roman" w:cs="Calibri"/>
                <w:bCs/>
                <w:sz w:val="20"/>
                <w:szCs w:val="20"/>
              </w:rPr>
            </w:pPr>
            <w:r w:rsidRPr="00EA2419">
              <w:rPr>
                <w:rFonts w:eastAsia="Times New Roman" w:cs="Calibri"/>
                <w:bCs/>
                <w:sz w:val="20"/>
                <w:szCs w:val="20"/>
              </w:rPr>
              <w:t>Supplemental</w:t>
            </w:r>
          </w:p>
        </w:tc>
      </w:tr>
      <w:tr w:rsidR="00EA2419" w:rsidRPr="00EA2419" w:rsidTr="006C4F95">
        <w:trPr>
          <w:cantSplit/>
          <w:trHeight w:val="600"/>
        </w:trPr>
        <w:tc>
          <w:tcPr>
            <w:tcW w:w="1890" w:type="dxa"/>
            <w:tcBorders>
              <w:top w:val="single" w:sz="4" w:space="0" w:color="auto"/>
              <w:left w:val="single" w:sz="4" w:space="0" w:color="auto"/>
              <w:bottom w:val="single" w:sz="4" w:space="0" w:color="auto"/>
              <w:right w:val="single" w:sz="4" w:space="0" w:color="auto"/>
            </w:tcBorders>
            <w:shd w:val="clear" w:color="000000" w:fill="FFFFFF"/>
            <w:hideMark/>
          </w:tcPr>
          <w:p w:rsidR="00EA2419" w:rsidRPr="00EA2419" w:rsidRDefault="00EA2419" w:rsidP="00EA2419">
            <w:pPr>
              <w:spacing w:after="0" w:line="240" w:lineRule="auto"/>
              <w:rPr>
                <w:rFonts w:eastAsia="Times New Roman" w:cs="Calibri"/>
                <w:bCs/>
                <w:sz w:val="20"/>
                <w:szCs w:val="20"/>
              </w:rPr>
            </w:pPr>
            <w:r w:rsidRPr="00EA2419">
              <w:rPr>
                <w:rFonts w:eastAsia="Times New Roman" w:cs="Calibri"/>
                <w:bCs/>
                <w:sz w:val="20"/>
                <w:szCs w:val="20"/>
              </w:rPr>
              <w:t>Conners’ Continuous Performance Test-Revised (CPT-2)</w:t>
            </w:r>
          </w:p>
        </w:tc>
        <w:tc>
          <w:tcPr>
            <w:tcW w:w="1170" w:type="dxa"/>
            <w:tcBorders>
              <w:top w:val="single" w:sz="4" w:space="0" w:color="auto"/>
              <w:left w:val="nil"/>
              <w:bottom w:val="single" w:sz="4" w:space="0" w:color="auto"/>
              <w:right w:val="single" w:sz="4" w:space="0" w:color="auto"/>
            </w:tcBorders>
            <w:shd w:val="clear" w:color="000000" w:fill="FFFFFF"/>
            <w:hideMark/>
          </w:tcPr>
          <w:p w:rsidR="00EA2419" w:rsidRPr="00EA2419" w:rsidRDefault="00EA2419" w:rsidP="00EA2419">
            <w:pPr>
              <w:spacing w:after="0" w:line="240" w:lineRule="auto"/>
              <w:rPr>
                <w:rFonts w:eastAsia="Times New Roman" w:cs="Calibri"/>
                <w:bCs/>
                <w:sz w:val="20"/>
                <w:szCs w:val="20"/>
              </w:rPr>
            </w:pPr>
            <w:r w:rsidRPr="00EA2419">
              <w:rPr>
                <w:rFonts w:eastAsia="Times New Roman" w:cs="Calibri"/>
                <w:bCs/>
                <w:sz w:val="20"/>
                <w:szCs w:val="20"/>
              </w:rPr>
              <w:t>Pediatric TBI</w:t>
            </w:r>
          </w:p>
        </w:tc>
        <w:tc>
          <w:tcPr>
            <w:tcW w:w="1530" w:type="dxa"/>
            <w:tcBorders>
              <w:top w:val="single" w:sz="4" w:space="0" w:color="auto"/>
              <w:left w:val="nil"/>
              <w:bottom w:val="single" w:sz="4" w:space="0" w:color="auto"/>
              <w:right w:val="single" w:sz="4" w:space="0" w:color="auto"/>
            </w:tcBorders>
            <w:shd w:val="clear" w:color="000000" w:fill="FFFFFF"/>
            <w:hideMark/>
          </w:tcPr>
          <w:p w:rsidR="00EA2419" w:rsidRPr="00EA2419" w:rsidRDefault="00EA2419" w:rsidP="00EA2419">
            <w:pPr>
              <w:spacing w:after="0" w:line="240" w:lineRule="auto"/>
              <w:rPr>
                <w:rFonts w:eastAsia="Times New Roman" w:cs="Calibri"/>
                <w:bCs/>
                <w:sz w:val="20"/>
                <w:szCs w:val="20"/>
              </w:rPr>
            </w:pPr>
            <w:r w:rsidRPr="00EA2419">
              <w:rPr>
                <w:rFonts w:eastAsia="Times New Roman" w:cs="Calibri"/>
                <w:bCs/>
                <w:sz w:val="20"/>
                <w:szCs w:val="20"/>
              </w:rPr>
              <w:t>Supplemental</w:t>
            </w:r>
          </w:p>
        </w:tc>
        <w:tc>
          <w:tcPr>
            <w:tcW w:w="1530" w:type="dxa"/>
            <w:tcBorders>
              <w:top w:val="single" w:sz="4" w:space="0" w:color="auto"/>
              <w:left w:val="nil"/>
              <w:bottom w:val="single" w:sz="4" w:space="0" w:color="auto"/>
              <w:right w:val="single" w:sz="4" w:space="0" w:color="auto"/>
            </w:tcBorders>
            <w:shd w:val="clear" w:color="000000" w:fill="FFFFFF"/>
            <w:hideMark/>
          </w:tcPr>
          <w:p w:rsidR="00EA2419" w:rsidRPr="00EA2419" w:rsidRDefault="00EA2419" w:rsidP="00EA2419">
            <w:pPr>
              <w:spacing w:after="0" w:line="240" w:lineRule="auto"/>
              <w:rPr>
                <w:rFonts w:eastAsia="Times New Roman" w:cs="Calibri"/>
                <w:bCs/>
                <w:sz w:val="20"/>
                <w:szCs w:val="20"/>
              </w:rPr>
            </w:pPr>
            <w:r w:rsidRPr="00EA2419">
              <w:rPr>
                <w:rFonts w:eastAsia="Times New Roman" w:cs="Calibri"/>
                <w:bCs/>
                <w:sz w:val="20"/>
                <w:szCs w:val="20"/>
              </w:rPr>
              <w:t>Supplemental</w:t>
            </w:r>
          </w:p>
        </w:tc>
        <w:tc>
          <w:tcPr>
            <w:tcW w:w="1530" w:type="dxa"/>
            <w:tcBorders>
              <w:top w:val="single" w:sz="4" w:space="0" w:color="auto"/>
              <w:left w:val="nil"/>
              <w:bottom w:val="single" w:sz="4" w:space="0" w:color="auto"/>
              <w:right w:val="single" w:sz="4" w:space="0" w:color="auto"/>
            </w:tcBorders>
            <w:shd w:val="clear" w:color="000000" w:fill="FFFFFF"/>
          </w:tcPr>
          <w:p w:rsidR="00EA2419" w:rsidRPr="00EA2419" w:rsidRDefault="00EA2419" w:rsidP="00EA2419">
            <w:pPr>
              <w:spacing w:after="0" w:line="240" w:lineRule="auto"/>
              <w:rPr>
                <w:rFonts w:eastAsia="Times New Roman" w:cs="Calibri"/>
                <w:bCs/>
                <w:sz w:val="20"/>
                <w:szCs w:val="20"/>
              </w:rPr>
            </w:pPr>
            <w:r w:rsidRPr="00EA2419">
              <w:rPr>
                <w:rFonts w:eastAsia="Times New Roman" w:cs="Calibri"/>
                <w:bCs/>
                <w:sz w:val="20"/>
                <w:szCs w:val="20"/>
              </w:rPr>
              <w:t>Supplemental</w:t>
            </w:r>
          </w:p>
        </w:tc>
        <w:tc>
          <w:tcPr>
            <w:tcW w:w="1530" w:type="dxa"/>
            <w:tcBorders>
              <w:top w:val="single" w:sz="4" w:space="0" w:color="auto"/>
              <w:left w:val="single" w:sz="4" w:space="0" w:color="auto"/>
              <w:bottom w:val="single" w:sz="4" w:space="0" w:color="auto"/>
              <w:right w:val="single" w:sz="4" w:space="0" w:color="auto"/>
            </w:tcBorders>
            <w:shd w:val="clear" w:color="000000" w:fill="FFFFFF"/>
            <w:hideMark/>
          </w:tcPr>
          <w:p w:rsidR="00EA2419" w:rsidRPr="00EA2419" w:rsidRDefault="00EA2419" w:rsidP="00EA2419">
            <w:pPr>
              <w:spacing w:after="0" w:line="240" w:lineRule="auto"/>
              <w:rPr>
                <w:rFonts w:eastAsia="Times New Roman" w:cs="Calibri"/>
                <w:bCs/>
                <w:sz w:val="20"/>
                <w:szCs w:val="20"/>
              </w:rPr>
            </w:pPr>
            <w:r w:rsidRPr="00EA2419">
              <w:rPr>
                <w:rFonts w:eastAsia="Times New Roman" w:cs="Calibri"/>
                <w:bCs/>
                <w:sz w:val="20"/>
                <w:szCs w:val="20"/>
              </w:rPr>
              <w:t>Supplemental</w:t>
            </w:r>
          </w:p>
        </w:tc>
      </w:tr>
      <w:tr w:rsidR="00EA2419" w:rsidRPr="00EA2419" w:rsidTr="006C4F95">
        <w:trPr>
          <w:cantSplit/>
          <w:trHeight w:val="600"/>
        </w:trPr>
        <w:tc>
          <w:tcPr>
            <w:tcW w:w="1890" w:type="dxa"/>
            <w:tcBorders>
              <w:top w:val="single" w:sz="4" w:space="0" w:color="auto"/>
              <w:left w:val="single" w:sz="4" w:space="0" w:color="auto"/>
              <w:bottom w:val="single" w:sz="4" w:space="0" w:color="auto"/>
              <w:right w:val="single" w:sz="4" w:space="0" w:color="auto"/>
            </w:tcBorders>
            <w:shd w:val="clear" w:color="000000" w:fill="FFFFFF"/>
            <w:hideMark/>
          </w:tcPr>
          <w:p w:rsidR="00EA2419" w:rsidRPr="00EA2419" w:rsidRDefault="00EA2419" w:rsidP="00EA2419">
            <w:pPr>
              <w:spacing w:after="0" w:line="240" w:lineRule="auto"/>
              <w:rPr>
                <w:rFonts w:eastAsia="Times New Roman" w:cs="Calibri"/>
                <w:bCs/>
                <w:sz w:val="20"/>
                <w:szCs w:val="20"/>
              </w:rPr>
            </w:pPr>
            <w:r w:rsidRPr="00EA2419">
              <w:rPr>
                <w:rFonts w:eastAsia="Times New Roman" w:cs="Calibri"/>
                <w:bCs/>
                <w:sz w:val="20"/>
                <w:szCs w:val="20"/>
              </w:rPr>
              <w:t>Contingency Naming Test (CNT)</w:t>
            </w:r>
          </w:p>
        </w:tc>
        <w:tc>
          <w:tcPr>
            <w:tcW w:w="1170" w:type="dxa"/>
            <w:tcBorders>
              <w:top w:val="single" w:sz="4" w:space="0" w:color="auto"/>
              <w:left w:val="nil"/>
              <w:bottom w:val="single" w:sz="4" w:space="0" w:color="auto"/>
              <w:right w:val="single" w:sz="4" w:space="0" w:color="auto"/>
            </w:tcBorders>
            <w:shd w:val="clear" w:color="000000" w:fill="FFFFFF"/>
            <w:hideMark/>
          </w:tcPr>
          <w:p w:rsidR="00EA2419" w:rsidRPr="00EA2419" w:rsidRDefault="00EA2419" w:rsidP="00EA2419">
            <w:pPr>
              <w:spacing w:after="0" w:line="240" w:lineRule="auto"/>
              <w:rPr>
                <w:rFonts w:eastAsia="Times New Roman" w:cs="Calibri"/>
                <w:bCs/>
                <w:sz w:val="20"/>
                <w:szCs w:val="20"/>
              </w:rPr>
            </w:pPr>
            <w:r w:rsidRPr="00EA2419">
              <w:rPr>
                <w:rFonts w:eastAsia="Times New Roman" w:cs="Calibri"/>
                <w:bCs/>
                <w:sz w:val="20"/>
                <w:szCs w:val="20"/>
              </w:rPr>
              <w:t>Pediatric TBI</w:t>
            </w:r>
          </w:p>
        </w:tc>
        <w:tc>
          <w:tcPr>
            <w:tcW w:w="1530" w:type="dxa"/>
            <w:tcBorders>
              <w:top w:val="single" w:sz="4" w:space="0" w:color="auto"/>
              <w:left w:val="nil"/>
              <w:bottom w:val="single" w:sz="4" w:space="0" w:color="auto"/>
              <w:right w:val="single" w:sz="4" w:space="0" w:color="auto"/>
            </w:tcBorders>
            <w:shd w:val="clear" w:color="000000" w:fill="FFFFFF"/>
            <w:hideMark/>
          </w:tcPr>
          <w:p w:rsidR="00EA2419" w:rsidRPr="00EA2419" w:rsidRDefault="00EA2419" w:rsidP="00EA2419">
            <w:pPr>
              <w:spacing w:after="0" w:line="240" w:lineRule="auto"/>
              <w:rPr>
                <w:rFonts w:eastAsia="Times New Roman" w:cs="Calibri"/>
                <w:bCs/>
                <w:sz w:val="20"/>
                <w:szCs w:val="20"/>
              </w:rPr>
            </w:pPr>
            <w:r w:rsidRPr="00EA2419">
              <w:rPr>
                <w:rFonts w:eastAsia="Times New Roman" w:cs="Calibri"/>
                <w:bCs/>
                <w:sz w:val="20"/>
                <w:szCs w:val="20"/>
              </w:rPr>
              <w:t>Supplemental</w:t>
            </w:r>
          </w:p>
        </w:tc>
        <w:tc>
          <w:tcPr>
            <w:tcW w:w="1530" w:type="dxa"/>
            <w:tcBorders>
              <w:top w:val="single" w:sz="4" w:space="0" w:color="auto"/>
              <w:left w:val="nil"/>
              <w:bottom w:val="single" w:sz="4" w:space="0" w:color="auto"/>
              <w:right w:val="single" w:sz="4" w:space="0" w:color="auto"/>
            </w:tcBorders>
            <w:shd w:val="clear" w:color="000000" w:fill="FFFFFF"/>
            <w:hideMark/>
          </w:tcPr>
          <w:p w:rsidR="00EA2419" w:rsidRPr="00EA2419" w:rsidRDefault="00EA2419" w:rsidP="00EA2419">
            <w:pPr>
              <w:spacing w:after="0" w:line="240" w:lineRule="auto"/>
              <w:rPr>
                <w:rFonts w:eastAsia="Times New Roman" w:cs="Calibri"/>
                <w:bCs/>
                <w:sz w:val="20"/>
                <w:szCs w:val="20"/>
              </w:rPr>
            </w:pPr>
            <w:r w:rsidRPr="00EA2419">
              <w:rPr>
                <w:rFonts w:eastAsia="Times New Roman" w:cs="Calibri"/>
                <w:bCs/>
                <w:sz w:val="20"/>
                <w:szCs w:val="20"/>
              </w:rPr>
              <w:t>Supplemental</w:t>
            </w:r>
          </w:p>
        </w:tc>
        <w:tc>
          <w:tcPr>
            <w:tcW w:w="1530" w:type="dxa"/>
            <w:tcBorders>
              <w:top w:val="single" w:sz="4" w:space="0" w:color="auto"/>
              <w:left w:val="nil"/>
              <w:bottom w:val="single" w:sz="4" w:space="0" w:color="auto"/>
              <w:right w:val="single" w:sz="4" w:space="0" w:color="auto"/>
            </w:tcBorders>
            <w:shd w:val="clear" w:color="000000" w:fill="FFFFFF"/>
          </w:tcPr>
          <w:p w:rsidR="00EA2419" w:rsidRPr="00EA2419" w:rsidRDefault="00EA2419" w:rsidP="00EA2419">
            <w:pPr>
              <w:spacing w:after="0" w:line="240" w:lineRule="auto"/>
              <w:rPr>
                <w:rFonts w:eastAsia="Times New Roman" w:cs="Calibri"/>
                <w:bCs/>
                <w:sz w:val="20"/>
                <w:szCs w:val="20"/>
              </w:rPr>
            </w:pPr>
            <w:r w:rsidRPr="00EA2419">
              <w:rPr>
                <w:rFonts w:eastAsia="Times New Roman" w:cs="Calibri"/>
                <w:bCs/>
                <w:sz w:val="20"/>
                <w:szCs w:val="20"/>
              </w:rPr>
              <w:t>Supplemental</w:t>
            </w:r>
          </w:p>
        </w:tc>
        <w:tc>
          <w:tcPr>
            <w:tcW w:w="1530" w:type="dxa"/>
            <w:tcBorders>
              <w:top w:val="single" w:sz="4" w:space="0" w:color="auto"/>
              <w:left w:val="single" w:sz="4" w:space="0" w:color="auto"/>
              <w:bottom w:val="single" w:sz="4" w:space="0" w:color="auto"/>
              <w:right w:val="single" w:sz="4" w:space="0" w:color="auto"/>
            </w:tcBorders>
            <w:shd w:val="clear" w:color="000000" w:fill="FFFFFF"/>
            <w:hideMark/>
          </w:tcPr>
          <w:p w:rsidR="00EA2419" w:rsidRPr="00EA2419" w:rsidRDefault="00EA2419" w:rsidP="00EA2419">
            <w:pPr>
              <w:spacing w:after="0" w:line="240" w:lineRule="auto"/>
              <w:rPr>
                <w:rFonts w:eastAsia="Times New Roman" w:cs="Calibri"/>
                <w:bCs/>
                <w:sz w:val="20"/>
                <w:szCs w:val="20"/>
              </w:rPr>
            </w:pPr>
            <w:r w:rsidRPr="00EA2419">
              <w:rPr>
                <w:rFonts w:eastAsia="Times New Roman" w:cs="Calibri"/>
                <w:bCs/>
                <w:sz w:val="20"/>
                <w:szCs w:val="20"/>
              </w:rPr>
              <w:t>Supplemental</w:t>
            </w:r>
          </w:p>
        </w:tc>
      </w:tr>
      <w:tr w:rsidR="00EA2419" w:rsidRPr="00EA2419" w:rsidTr="006C4F95">
        <w:trPr>
          <w:cantSplit/>
          <w:trHeight w:val="600"/>
        </w:trPr>
        <w:tc>
          <w:tcPr>
            <w:tcW w:w="1890" w:type="dxa"/>
            <w:tcBorders>
              <w:top w:val="single" w:sz="4" w:space="0" w:color="auto"/>
              <w:left w:val="single" w:sz="4" w:space="0" w:color="auto"/>
              <w:bottom w:val="single" w:sz="4" w:space="0" w:color="auto"/>
              <w:right w:val="single" w:sz="4" w:space="0" w:color="auto"/>
            </w:tcBorders>
            <w:shd w:val="clear" w:color="000000" w:fill="FFFFFF"/>
            <w:hideMark/>
          </w:tcPr>
          <w:p w:rsidR="00EA2419" w:rsidRPr="00EA2419" w:rsidRDefault="00EA2419" w:rsidP="00EA2419">
            <w:pPr>
              <w:spacing w:after="0" w:line="240" w:lineRule="auto"/>
              <w:rPr>
                <w:rFonts w:eastAsia="Times New Roman" w:cs="Calibri"/>
                <w:bCs/>
                <w:sz w:val="20"/>
                <w:szCs w:val="20"/>
              </w:rPr>
            </w:pPr>
            <w:r w:rsidRPr="00EA2419">
              <w:rPr>
                <w:rFonts w:eastAsia="Times New Roman" w:cs="Calibri"/>
                <w:bCs/>
                <w:sz w:val="20"/>
                <w:szCs w:val="20"/>
              </w:rPr>
              <w:t>Controlled Oral Word Association Test (COWAT)</w:t>
            </w:r>
          </w:p>
        </w:tc>
        <w:tc>
          <w:tcPr>
            <w:tcW w:w="1170" w:type="dxa"/>
            <w:tcBorders>
              <w:top w:val="single" w:sz="4" w:space="0" w:color="auto"/>
              <w:left w:val="nil"/>
              <w:bottom w:val="single" w:sz="4" w:space="0" w:color="auto"/>
              <w:right w:val="single" w:sz="4" w:space="0" w:color="auto"/>
            </w:tcBorders>
            <w:shd w:val="clear" w:color="000000" w:fill="FFFFFF"/>
            <w:hideMark/>
          </w:tcPr>
          <w:p w:rsidR="00EA2419" w:rsidRPr="00EA2419" w:rsidRDefault="00EA2419" w:rsidP="00EA2419">
            <w:pPr>
              <w:spacing w:after="0" w:line="240" w:lineRule="auto"/>
              <w:rPr>
                <w:rFonts w:eastAsia="Times New Roman" w:cs="Calibri"/>
                <w:bCs/>
                <w:sz w:val="20"/>
                <w:szCs w:val="20"/>
              </w:rPr>
            </w:pPr>
            <w:r w:rsidRPr="00EA2419">
              <w:rPr>
                <w:rFonts w:eastAsia="Times New Roman" w:cs="Calibri"/>
                <w:bCs/>
                <w:sz w:val="20"/>
                <w:szCs w:val="20"/>
              </w:rPr>
              <w:t>Adult TBI</w:t>
            </w:r>
          </w:p>
        </w:tc>
        <w:tc>
          <w:tcPr>
            <w:tcW w:w="1530" w:type="dxa"/>
            <w:tcBorders>
              <w:top w:val="single" w:sz="4" w:space="0" w:color="auto"/>
              <w:left w:val="nil"/>
              <w:bottom w:val="single" w:sz="4" w:space="0" w:color="auto"/>
              <w:right w:val="single" w:sz="4" w:space="0" w:color="auto"/>
            </w:tcBorders>
            <w:shd w:val="clear" w:color="000000" w:fill="FFFFFF"/>
            <w:hideMark/>
          </w:tcPr>
          <w:p w:rsidR="00EA2419" w:rsidRPr="00EA2419" w:rsidRDefault="00EA2419" w:rsidP="00EA2419">
            <w:pPr>
              <w:spacing w:after="0" w:line="240" w:lineRule="auto"/>
              <w:rPr>
                <w:rFonts w:eastAsia="Times New Roman" w:cs="Calibri"/>
                <w:bCs/>
                <w:sz w:val="20"/>
                <w:szCs w:val="20"/>
              </w:rPr>
            </w:pPr>
            <w:r w:rsidRPr="00EA2419">
              <w:rPr>
                <w:rFonts w:eastAsia="Times New Roman" w:cs="Calibri"/>
                <w:bCs/>
                <w:sz w:val="20"/>
                <w:szCs w:val="20"/>
              </w:rPr>
              <w:t>Supplemental</w:t>
            </w:r>
          </w:p>
        </w:tc>
        <w:tc>
          <w:tcPr>
            <w:tcW w:w="1530" w:type="dxa"/>
            <w:tcBorders>
              <w:top w:val="single" w:sz="4" w:space="0" w:color="auto"/>
              <w:left w:val="nil"/>
              <w:bottom w:val="single" w:sz="4" w:space="0" w:color="auto"/>
              <w:right w:val="single" w:sz="4" w:space="0" w:color="auto"/>
            </w:tcBorders>
            <w:shd w:val="clear" w:color="000000" w:fill="FFFFFF"/>
            <w:hideMark/>
          </w:tcPr>
          <w:p w:rsidR="00EA2419" w:rsidRPr="00EA2419" w:rsidRDefault="00EA2419" w:rsidP="00EA2419">
            <w:pPr>
              <w:spacing w:after="0" w:line="240" w:lineRule="auto"/>
              <w:rPr>
                <w:rFonts w:eastAsia="Times New Roman" w:cs="Calibri"/>
                <w:bCs/>
                <w:sz w:val="20"/>
                <w:szCs w:val="20"/>
              </w:rPr>
            </w:pPr>
            <w:r w:rsidRPr="00EA2419">
              <w:rPr>
                <w:rFonts w:eastAsia="Times New Roman" w:cs="Calibri"/>
                <w:bCs/>
                <w:sz w:val="20"/>
                <w:szCs w:val="20"/>
              </w:rPr>
              <w:t>Supplemental</w:t>
            </w:r>
          </w:p>
        </w:tc>
        <w:tc>
          <w:tcPr>
            <w:tcW w:w="1530" w:type="dxa"/>
            <w:tcBorders>
              <w:top w:val="single" w:sz="4" w:space="0" w:color="auto"/>
              <w:left w:val="nil"/>
              <w:bottom w:val="single" w:sz="4" w:space="0" w:color="auto"/>
              <w:right w:val="single" w:sz="4" w:space="0" w:color="auto"/>
            </w:tcBorders>
            <w:shd w:val="clear" w:color="000000" w:fill="FFFFFF"/>
          </w:tcPr>
          <w:p w:rsidR="00EA2419" w:rsidRPr="00EA2419" w:rsidRDefault="00EA2419" w:rsidP="00EA2419">
            <w:pPr>
              <w:spacing w:after="0" w:line="240" w:lineRule="auto"/>
              <w:rPr>
                <w:rFonts w:eastAsia="Times New Roman" w:cs="Calibri"/>
                <w:bCs/>
                <w:sz w:val="20"/>
                <w:szCs w:val="20"/>
              </w:rPr>
            </w:pPr>
            <w:r w:rsidRPr="00EA2419">
              <w:rPr>
                <w:rFonts w:eastAsia="Times New Roman" w:cs="Calibri"/>
                <w:bCs/>
                <w:sz w:val="20"/>
                <w:szCs w:val="20"/>
              </w:rPr>
              <w:t>Supplemental</w:t>
            </w:r>
          </w:p>
        </w:tc>
        <w:tc>
          <w:tcPr>
            <w:tcW w:w="1530" w:type="dxa"/>
            <w:tcBorders>
              <w:top w:val="single" w:sz="4" w:space="0" w:color="auto"/>
              <w:left w:val="single" w:sz="4" w:space="0" w:color="auto"/>
              <w:bottom w:val="single" w:sz="4" w:space="0" w:color="auto"/>
              <w:right w:val="single" w:sz="4" w:space="0" w:color="auto"/>
            </w:tcBorders>
            <w:shd w:val="clear" w:color="000000" w:fill="FFFFFF"/>
            <w:hideMark/>
          </w:tcPr>
          <w:p w:rsidR="00EA2419" w:rsidRPr="00EA2419" w:rsidRDefault="00EA2419" w:rsidP="00EA2419">
            <w:pPr>
              <w:spacing w:after="0" w:line="240" w:lineRule="auto"/>
              <w:rPr>
                <w:rFonts w:eastAsia="Times New Roman" w:cs="Calibri"/>
                <w:bCs/>
                <w:sz w:val="20"/>
                <w:szCs w:val="20"/>
              </w:rPr>
            </w:pPr>
            <w:r w:rsidRPr="00EA2419">
              <w:rPr>
                <w:rFonts w:eastAsia="Times New Roman" w:cs="Calibri"/>
                <w:bCs/>
                <w:sz w:val="20"/>
                <w:szCs w:val="20"/>
              </w:rPr>
              <w:t>Supplemental</w:t>
            </w:r>
          </w:p>
        </w:tc>
      </w:tr>
      <w:tr w:rsidR="00EA2419" w:rsidRPr="00EA2419" w:rsidTr="006C4F95">
        <w:trPr>
          <w:cantSplit/>
          <w:trHeight w:val="600"/>
        </w:trPr>
        <w:tc>
          <w:tcPr>
            <w:tcW w:w="1890" w:type="dxa"/>
            <w:tcBorders>
              <w:top w:val="single" w:sz="4" w:space="0" w:color="auto"/>
              <w:left w:val="single" w:sz="4" w:space="0" w:color="auto"/>
              <w:bottom w:val="single" w:sz="4" w:space="0" w:color="auto"/>
              <w:right w:val="single" w:sz="4" w:space="0" w:color="auto"/>
            </w:tcBorders>
            <w:shd w:val="clear" w:color="000000" w:fill="FFFFFF"/>
            <w:hideMark/>
          </w:tcPr>
          <w:p w:rsidR="00EA2419" w:rsidRPr="00EA2419" w:rsidRDefault="00EA2419" w:rsidP="00EA2419">
            <w:pPr>
              <w:spacing w:after="0" w:line="240" w:lineRule="auto"/>
              <w:rPr>
                <w:rFonts w:eastAsia="Times New Roman" w:cs="Calibri"/>
                <w:bCs/>
                <w:sz w:val="20"/>
                <w:szCs w:val="20"/>
              </w:rPr>
            </w:pPr>
            <w:r w:rsidRPr="00EA2419">
              <w:rPr>
                <w:rFonts w:eastAsia="Times New Roman" w:cs="Calibri"/>
                <w:bCs/>
                <w:sz w:val="20"/>
                <w:szCs w:val="20"/>
              </w:rPr>
              <w:t>Delis-Kaplan Executive Function System (D-KEFS) Trail Making Test</w:t>
            </w:r>
          </w:p>
        </w:tc>
        <w:tc>
          <w:tcPr>
            <w:tcW w:w="1170" w:type="dxa"/>
            <w:tcBorders>
              <w:top w:val="single" w:sz="4" w:space="0" w:color="auto"/>
              <w:left w:val="nil"/>
              <w:bottom w:val="single" w:sz="4" w:space="0" w:color="auto"/>
              <w:right w:val="single" w:sz="4" w:space="0" w:color="auto"/>
            </w:tcBorders>
            <w:shd w:val="clear" w:color="000000" w:fill="FFFFFF"/>
            <w:hideMark/>
          </w:tcPr>
          <w:p w:rsidR="00EA2419" w:rsidRPr="00EA2419" w:rsidRDefault="00EA2419" w:rsidP="00EA2419">
            <w:pPr>
              <w:spacing w:after="0" w:line="240" w:lineRule="auto"/>
              <w:rPr>
                <w:rFonts w:eastAsia="Times New Roman" w:cs="Calibri"/>
                <w:bCs/>
                <w:sz w:val="20"/>
                <w:szCs w:val="20"/>
              </w:rPr>
            </w:pPr>
            <w:r w:rsidRPr="00EA2419">
              <w:rPr>
                <w:rFonts w:eastAsia="Times New Roman" w:cs="Calibri"/>
                <w:bCs/>
                <w:sz w:val="20"/>
                <w:szCs w:val="20"/>
              </w:rPr>
              <w:t>Pediatric TBI</w:t>
            </w:r>
          </w:p>
        </w:tc>
        <w:tc>
          <w:tcPr>
            <w:tcW w:w="1530" w:type="dxa"/>
            <w:tcBorders>
              <w:top w:val="single" w:sz="4" w:space="0" w:color="auto"/>
              <w:left w:val="nil"/>
              <w:bottom w:val="single" w:sz="4" w:space="0" w:color="auto"/>
              <w:right w:val="single" w:sz="4" w:space="0" w:color="auto"/>
            </w:tcBorders>
            <w:shd w:val="clear" w:color="000000" w:fill="FFFFFF"/>
            <w:hideMark/>
          </w:tcPr>
          <w:p w:rsidR="00EA2419" w:rsidRPr="00EA2419" w:rsidRDefault="00EA2419" w:rsidP="00EA2419">
            <w:pPr>
              <w:spacing w:after="0" w:line="240" w:lineRule="auto"/>
              <w:rPr>
                <w:rFonts w:eastAsia="Times New Roman" w:cs="Calibri"/>
                <w:bCs/>
                <w:sz w:val="20"/>
                <w:szCs w:val="20"/>
              </w:rPr>
            </w:pPr>
            <w:r w:rsidRPr="00EA2419">
              <w:rPr>
                <w:rFonts w:eastAsia="Times New Roman" w:cs="Calibri"/>
                <w:bCs/>
                <w:sz w:val="20"/>
                <w:szCs w:val="20"/>
              </w:rPr>
              <w:t>Supplemental</w:t>
            </w:r>
          </w:p>
        </w:tc>
        <w:tc>
          <w:tcPr>
            <w:tcW w:w="1530" w:type="dxa"/>
            <w:tcBorders>
              <w:top w:val="single" w:sz="4" w:space="0" w:color="auto"/>
              <w:left w:val="nil"/>
              <w:bottom w:val="single" w:sz="4" w:space="0" w:color="auto"/>
              <w:right w:val="single" w:sz="4" w:space="0" w:color="auto"/>
            </w:tcBorders>
            <w:shd w:val="clear" w:color="000000" w:fill="FFFFFF"/>
            <w:hideMark/>
          </w:tcPr>
          <w:p w:rsidR="00EA2419" w:rsidRPr="00EA2419" w:rsidRDefault="00EA2419" w:rsidP="00EA2419">
            <w:pPr>
              <w:spacing w:after="0" w:line="240" w:lineRule="auto"/>
              <w:rPr>
                <w:rFonts w:eastAsia="Times New Roman" w:cs="Calibri"/>
                <w:bCs/>
                <w:sz w:val="20"/>
                <w:szCs w:val="20"/>
              </w:rPr>
            </w:pPr>
            <w:r w:rsidRPr="00EA2419">
              <w:rPr>
                <w:rFonts w:eastAsia="Times New Roman" w:cs="Calibri"/>
                <w:bCs/>
                <w:sz w:val="20"/>
                <w:szCs w:val="20"/>
              </w:rPr>
              <w:t>Supplemental</w:t>
            </w:r>
          </w:p>
        </w:tc>
        <w:tc>
          <w:tcPr>
            <w:tcW w:w="1530" w:type="dxa"/>
            <w:tcBorders>
              <w:top w:val="single" w:sz="4" w:space="0" w:color="auto"/>
              <w:left w:val="nil"/>
              <w:bottom w:val="single" w:sz="4" w:space="0" w:color="auto"/>
              <w:right w:val="single" w:sz="4" w:space="0" w:color="auto"/>
            </w:tcBorders>
            <w:shd w:val="clear" w:color="000000" w:fill="FFFFFF"/>
          </w:tcPr>
          <w:p w:rsidR="00EA2419" w:rsidRPr="00EA2419" w:rsidRDefault="00EA2419" w:rsidP="00EA2419">
            <w:pPr>
              <w:spacing w:after="0" w:line="240" w:lineRule="auto"/>
              <w:rPr>
                <w:rFonts w:eastAsia="Times New Roman" w:cs="Calibri"/>
                <w:bCs/>
                <w:sz w:val="20"/>
                <w:szCs w:val="20"/>
              </w:rPr>
            </w:pPr>
            <w:r w:rsidRPr="00EA2419">
              <w:rPr>
                <w:rFonts w:eastAsia="Times New Roman" w:cs="Calibri"/>
                <w:bCs/>
                <w:sz w:val="20"/>
                <w:szCs w:val="20"/>
              </w:rPr>
              <w:t>Supplemental</w:t>
            </w:r>
          </w:p>
        </w:tc>
        <w:tc>
          <w:tcPr>
            <w:tcW w:w="1530" w:type="dxa"/>
            <w:tcBorders>
              <w:top w:val="single" w:sz="4" w:space="0" w:color="auto"/>
              <w:left w:val="single" w:sz="4" w:space="0" w:color="auto"/>
              <w:bottom w:val="single" w:sz="4" w:space="0" w:color="auto"/>
              <w:right w:val="single" w:sz="4" w:space="0" w:color="auto"/>
            </w:tcBorders>
            <w:shd w:val="clear" w:color="000000" w:fill="FFFFFF"/>
            <w:hideMark/>
          </w:tcPr>
          <w:p w:rsidR="00EA2419" w:rsidRPr="00EA2419" w:rsidRDefault="00EA2419" w:rsidP="00EA2419">
            <w:pPr>
              <w:spacing w:after="0" w:line="240" w:lineRule="auto"/>
              <w:rPr>
                <w:rFonts w:eastAsia="Times New Roman" w:cs="Calibri"/>
                <w:bCs/>
                <w:sz w:val="20"/>
                <w:szCs w:val="20"/>
              </w:rPr>
            </w:pPr>
            <w:r w:rsidRPr="00EA2419">
              <w:rPr>
                <w:rFonts w:eastAsia="Times New Roman" w:cs="Calibri"/>
                <w:bCs/>
                <w:sz w:val="20"/>
                <w:szCs w:val="20"/>
              </w:rPr>
              <w:t>Supplemental</w:t>
            </w:r>
          </w:p>
        </w:tc>
      </w:tr>
      <w:tr w:rsidR="00EA2419" w:rsidRPr="00EA2419" w:rsidTr="006C4F95">
        <w:trPr>
          <w:cantSplit/>
          <w:trHeight w:val="600"/>
        </w:trPr>
        <w:tc>
          <w:tcPr>
            <w:tcW w:w="1890" w:type="dxa"/>
            <w:tcBorders>
              <w:top w:val="single" w:sz="4" w:space="0" w:color="auto"/>
              <w:left w:val="single" w:sz="4" w:space="0" w:color="auto"/>
              <w:bottom w:val="single" w:sz="4" w:space="0" w:color="auto"/>
              <w:right w:val="single" w:sz="4" w:space="0" w:color="auto"/>
            </w:tcBorders>
            <w:shd w:val="clear" w:color="000000" w:fill="FFFFFF"/>
            <w:hideMark/>
          </w:tcPr>
          <w:p w:rsidR="00EA2419" w:rsidRPr="00EA2419" w:rsidRDefault="00EA2419" w:rsidP="00EA2419">
            <w:pPr>
              <w:spacing w:after="0" w:line="240" w:lineRule="auto"/>
              <w:rPr>
                <w:rFonts w:eastAsia="Times New Roman" w:cs="Calibri"/>
                <w:bCs/>
                <w:sz w:val="20"/>
                <w:szCs w:val="20"/>
              </w:rPr>
            </w:pPr>
            <w:r w:rsidRPr="00EA2419">
              <w:rPr>
                <w:rFonts w:eastAsia="Times New Roman" w:cs="Calibri"/>
                <w:bCs/>
                <w:sz w:val="20"/>
                <w:szCs w:val="20"/>
              </w:rPr>
              <w:lastRenderedPageBreak/>
              <w:t>Delis-Kaplan Executive Function System (D-KEFS) Verbal Fluency</w:t>
            </w:r>
          </w:p>
        </w:tc>
        <w:tc>
          <w:tcPr>
            <w:tcW w:w="1170" w:type="dxa"/>
            <w:tcBorders>
              <w:top w:val="single" w:sz="4" w:space="0" w:color="auto"/>
              <w:left w:val="nil"/>
              <w:bottom w:val="single" w:sz="4" w:space="0" w:color="auto"/>
              <w:right w:val="single" w:sz="4" w:space="0" w:color="auto"/>
            </w:tcBorders>
            <w:shd w:val="clear" w:color="000000" w:fill="FFFFFF"/>
            <w:hideMark/>
          </w:tcPr>
          <w:p w:rsidR="00EA2419" w:rsidRPr="00EA2419" w:rsidRDefault="00EA2419" w:rsidP="00EA2419">
            <w:pPr>
              <w:spacing w:after="0" w:line="240" w:lineRule="auto"/>
              <w:rPr>
                <w:rFonts w:eastAsia="Times New Roman" w:cs="Calibri"/>
                <w:bCs/>
                <w:sz w:val="20"/>
                <w:szCs w:val="20"/>
              </w:rPr>
            </w:pPr>
            <w:r w:rsidRPr="00EA2419">
              <w:rPr>
                <w:rFonts w:eastAsia="Times New Roman" w:cs="Calibri"/>
                <w:bCs/>
                <w:sz w:val="20"/>
                <w:szCs w:val="20"/>
              </w:rPr>
              <w:t>Pediatric TBI</w:t>
            </w:r>
          </w:p>
        </w:tc>
        <w:tc>
          <w:tcPr>
            <w:tcW w:w="1530" w:type="dxa"/>
            <w:tcBorders>
              <w:top w:val="single" w:sz="4" w:space="0" w:color="auto"/>
              <w:left w:val="nil"/>
              <w:bottom w:val="single" w:sz="4" w:space="0" w:color="auto"/>
              <w:right w:val="single" w:sz="4" w:space="0" w:color="auto"/>
            </w:tcBorders>
            <w:shd w:val="clear" w:color="000000" w:fill="FFFFFF"/>
            <w:hideMark/>
          </w:tcPr>
          <w:p w:rsidR="00EA2419" w:rsidRPr="00EA2419" w:rsidRDefault="00EA2419" w:rsidP="00EA2419">
            <w:pPr>
              <w:spacing w:after="0" w:line="240" w:lineRule="auto"/>
              <w:rPr>
                <w:rFonts w:eastAsia="Times New Roman" w:cs="Calibri"/>
                <w:bCs/>
                <w:sz w:val="20"/>
                <w:szCs w:val="20"/>
              </w:rPr>
            </w:pPr>
            <w:r w:rsidRPr="00EA2419">
              <w:rPr>
                <w:rFonts w:eastAsia="Times New Roman" w:cs="Calibri"/>
                <w:bCs/>
                <w:sz w:val="20"/>
                <w:szCs w:val="20"/>
              </w:rPr>
              <w:t>Basic</w:t>
            </w:r>
          </w:p>
        </w:tc>
        <w:tc>
          <w:tcPr>
            <w:tcW w:w="1530" w:type="dxa"/>
            <w:tcBorders>
              <w:top w:val="single" w:sz="4" w:space="0" w:color="auto"/>
              <w:left w:val="nil"/>
              <w:bottom w:val="single" w:sz="4" w:space="0" w:color="auto"/>
              <w:right w:val="single" w:sz="4" w:space="0" w:color="auto"/>
            </w:tcBorders>
            <w:shd w:val="clear" w:color="000000" w:fill="FFFFFF"/>
            <w:hideMark/>
          </w:tcPr>
          <w:p w:rsidR="00EA2419" w:rsidRPr="00EA2419" w:rsidRDefault="00EA2419" w:rsidP="00EA2419">
            <w:pPr>
              <w:spacing w:after="0" w:line="240" w:lineRule="auto"/>
              <w:rPr>
                <w:rFonts w:eastAsia="Times New Roman" w:cs="Calibri"/>
                <w:bCs/>
                <w:sz w:val="20"/>
                <w:szCs w:val="20"/>
              </w:rPr>
            </w:pPr>
            <w:r w:rsidRPr="00EA2419">
              <w:rPr>
                <w:rFonts w:eastAsia="Times New Roman" w:cs="Calibri"/>
                <w:bCs/>
                <w:sz w:val="20"/>
                <w:szCs w:val="20"/>
              </w:rPr>
              <w:t>Basic</w:t>
            </w:r>
          </w:p>
        </w:tc>
        <w:tc>
          <w:tcPr>
            <w:tcW w:w="1530" w:type="dxa"/>
            <w:tcBorders>
              <w:top w:val="single" w:sz="4" w:space="0" w:color="auto"/>
              <w:left w:val="nil"/>
              <w:bottom w:val="single" w:sz="4" w:space="0" w:color="auto"/>
              <w:right w:val="single" w:sz="4" w:space="0" w:color="auto"/>
            </w:tcBorders>
            <w:shd w:val="clear" w:color="000000" w:fill="FFFFFF"/>
          </w:tcPr>
          <w:p w:rsidR="00EA2419" w:rsidRPr="00EA2419" w:rsidRDefault="00EA2419" w:rsidP="0085772F">
            <w:pPr>
              <w:spacing w:after="0" w:line="240" w:lineRule="auto"/>
              <w:rPr>
                <w:rFonts w:eastAsia="Times New Roman" w:cs="Calibri"/>
                <w:bCs/>
                <w:sz w:val="20"/>
                <w:szCs w:val="20"/>
              </w:rPr>
            </w:pPr>
            <w:r w:rsidRPr="00EA2419">
              <w:rPr>
                <w:rFonts w:eastAsia="Times New Roman" w:cs="Calibri"/>
                <w:bCs/>
                <w:sz w:val="20"/>
                <w:szCs w:val="20"/>
              </w:rPr>
              <w:t>Basic</w:t>
            </w:r>
          </w:p>
        </w:tc>
        <w:tc>
          <w:tcPr>
            <w:tcW w:w="1530" w:type="dxa"/>
            <w:tcBorders>
              <w:top w:val="single" w:sz="4" w:space="0" w:color="auto"/>
              <w:left w:val="single" w:sz="4" w:space="0" w:color="auto"/>
              <w:bottom w:val="single" w:sz="4" w:space="0" w:color="auto"/>
              <w:right w:val="single" w:sz="4" w:space="0" w:color="auto"/>
            </w:tcBorders>
            <w:shd w:val="clear" w:color="000000" w:fill="FFFFFF"/>
            <w:hideMark/>
          </w:tcPr>
          <w:p w:rsidR="00EA2419" w:rsidRPr="00EA2419" w:rsidRDefault="00EA2419" w:rsidP="0085772F">
            <w:pPr>
              <w:spacing w:after="0" w:line="240" w:lineRule="auto"/>
              <w:rPr>
                <w:rFonts w:eastAsia="Times New Roman" w:cs="Calibri"/>
                <w:bCs/>
                <w:sz w:val="20"/>
                <w:szCs w:val="20"/>
              </w:rPr>
            </w:pPr>
            <w:r w:rsidRPr="00EA2419">
              <w:rPr>
                <w:rFonts w:eastAsia="Times New Roman" w:cs="Calibri"/>
                <w:bCs/>
                <w:sz w:val="20"/>
                <w:szCs w:val="20"/>
              </w:rPr>
              <w:t>Supplemental</w:t>
            </w:r>
          </w:p>
        </w:tc>
      </w:tr>
      <w:tr w:rsidR="00EA2419" w:rsidRPr="00EA2419" w:rsidTr="006C4F95">
        <w:trPr>
          <w:cantSplit/>
          <w:trHeight w:val="600"/>
        </w:trPr>
        <w:tc>
          <w:tcPr>
            <w:tcW w:w="1890" w:type="dxa"/>
            <w:tcBorders>
              <w:top w:val="single" w:sz="4" w:space="0" w:color="auto"/>
              <w:left w:val="single" w:sz="4" w:space="0" w:color="auto"/>
              <w:bottom w:val="single" w:sz="4" w:space="0" w:color="auto"/>
              <w:right w:val="single" w:sz="4" w:space="0" w:color="auto"/>
            </w:tcBorders>
            <w:shd w:val="clear" w:color="000000" w:fill="FFFFFF"/>
            <w:hideMark/>
          </w:tcPr>
          <w:p w:rsidR="00EA2419" w:rsidRPr="00EA2419" w:rsidRDefault="00EA2419" w:rsidP="00EA2419">
            <w:pPr>
              <w:spacing w:after="0" w:line="240" w:lineRule="auto"/>
              <w:rPr>
                <w:rFonts w:eastAsia="Times New Roman" w:cs="Calibri"/>
                <w:bCs/>
                <w:sz w:val="20"/>
                <w:szCs w:val="20"/>
              </w:rPr>
            </w:pPr>
            <w:r w:rsidRPr="00EA2419">
              <w:rPr>
                <w:rFonts w:eastAsia="Times New Roman" w:cs="Calibri"/>
                <w:bCs/>
                <w:sz w:val="20"/>
                <w:szCs w:val="20"/>
              </w:rPr>
              <w:t xml:space="preserve">Eriksen Flanker Test </w:t>
            </w:r>
          </w:p>
        </w:tc>
        <w:tc>
          <w:tcPr>
            <w:tcW w:w="1170" w:type="dxa"/>
            <w:tcBorders>
              <w:top w:val="single" w:sz="4" w:space="0" w:color="auto"/>
              <w:left w:val="nil"/>
              <w:bottom w:val="single" w:sz="4" w:space="0" w:color="auto"/>
              <w:right w:val="single" w:sz="4" w:space="0" w:color="auto"/>
            </w:tcBorders>
            <w:shd w:val="clear" w:color="000000" w:fill="FFFFFF"/>
            <w:hideMark/>
          </w:tcPr>
          <w:p w:rsidR="00EA2419" w:rsidRPr="00EA2419" w:rsidRDefault="00EA2419" w:rsidP="00EA2419">
            <w:pPr>
              <w:spacing w:after="0" w:line="240" w:lineRule="auto"/>
              <w:rPr>
                <w:rFonts w:eastAsia="Times New Roman" w:cs="Calibri"/>
                <w:bCs/>
                <w:sz w:val="20"/>
                <w:szCs w:val="20"/>
              </w:rPr>
            </w:pPr>
            <w:r w:rsidRPr="00EA2419">
              <w:rPr>
                <w:rFonts w:eastAsia="Times New Roman" w:cs="Calibri"/>
                <w:bCs/>
                <w:sz w:val="20"/>
                <w:szCs w:val="20"/>
              </w:rPr>
              <w:t>Pediatric TBI</w:t>
            </w:r>
          </w:p>
        </w:tc>
        <w:tc>
          <w:tcPr>
            <w:tcW w:w="1530" w:type="dxa"/>
            <w:tcBorders>
              <w:top w:val="single" w:sz="4" w:space="0" w:color="auto"/>
              <w:left w:val="nil"/>
              <w:bottom w:val="single" w:sz="4" w:space="0" w:color="auto"/>
              <w:right w:val="single" w:sz="4" w:space="0" w:color="auto"/>
            </w:tcBorders>
            <w:shd w:val="clear" w:color="000000" w:fill="FFFFFF"/>
            <w:hideMark/>
          </w:tcPr>
          <w:p w:rsidR="00EA2419" w:rsidRPr="00EA2419" w:rsidRDefault="00EA2419" w:rsidP="00EA2419">
            <w:pPr>
              <w:spacing w:after="0" w:line="240" w:lineRule="auto"/>
              <w:rPr>
                <w:rFonts w:eastAsia="Times New Roman" w:cs="Calibri"/>
                <w:bCs/>
                <w:sz w:val="20"/>
                <w:szCs w:val="20"/>
              </w:rPr>
            </w:pPr>
            <w:r w:rsidRPr="00EA2419">
              <w:rPr>
                <w:rFonts w:eastAsia="Times New Roman" w:cs="Calibri"/>
                <w:bCs/>
                <w:sz w:val="20"/>
                <w:szCs w:val="20"/>
              </w:rPr>
              <w:t>Supplemental</w:t>
            </w:r>
          </w:p>
        </w:tc>
        <w:tc>
          <w:tcPr>
            <w:tcW w:w="1530" w:type="dxa"/>
            <w:tcBorders>
              <w:top w:val="single" w:sz="4" w:space="0" w:color="auto"/>
              <w:left w:val="nil"/>
              <w:bottom w:val="single" w:sz="4" w:space="0" w:color="auto"/>
              <w:right w:val="single" w:sz="4" w:space="0" w:color="auto"/>
            </w:tcBorders>
            <w:shd w:val="clear" w:color="000000" w:fill="FFFFFF"/>
            <w:hideMark/>
          </w:tcPr>
          <w:p w:rsidR="00EA2419" w:rsidRPr="00EA2419" w:rsidRDefault="00EA2419" w:rsidP="00EA2419">
            <w:pPr>
              <w:spacing w:after="0" w:line="240" w:lineRule="auto"/>
              <w:rPr>
                <w:rFonts w:eastAsia="Times New Roman" w:cs="Calibri"/>
                <w:bCs/>
                <w:sz w:val="20"/>
                <w:szCs w:val="20"/>
              </w:rPr>
            </w:pPr>
            <w:r w:rsidRPr="00EA2419">
              <w:rPr>
                <w:rFonts w:eastAsia="Times New Roman" w:cs="Calibri"/>
                <w:bCs/>
                <w:sz w:val="20"/>
                <w:szCs w:val="20"/>
              </w:rPr>
              <w:t>Supplemental</w:t>
            </w:r>
          </w:p>
        </w:tc>
        <w:tc>
          <w:tcPr>
            <w:tcW w:w="1530" w:type="dxa"/>
            <w:tcBorders>
              <w:top w:val="single" w:sz="4" w:space="0" w:color="auto"/>
              <w:left w:val="nil"/>
              <w:bottom w:val="single" w:sz="4" w:space="0" w:color="auto"/>
              <w:right w:val="single" w:sz="4" w:space="0" w:color="auto"/>
            </w:tcBorders>
            <w:shd w:val="clear" w:color="000000" w:fill="FFFFFF"/>
          </w:tcPr>
          <w:p w:rsidR="00EA2419" w:rsidRPr="00EA2419" w:rsidRDefault="00EA2419" w:rsidP="00EA2419">
            <w:pPr>
              <w:spacing w:after="0" w:line="240" w:lineRule="auto"/>
              <w:rPr>
                <w:rFonts w:eastAsia="Times New Roman" w:cs="Calibri"/>
                <w:bCs/>
                <w:sz w:val="20"/>
                <w:szCs w:val="20"/>
              </w:rPr>
            </w:pPr>
            <w:r w:rsidRPr="00EA2419">
              <w:rPr>
                <w:rFonts w:eastAsia="Times New Roman" w:cs="Calibri"/>
                <w:bCs/>
                <w:sz w:val="20"/>
                <w:szCs w:val="20"/>
              </w:rPr>
              <w:t>Supplemental</w:t>
            </w:r>
          </w:p>
        </w:tc>
        <w:tc>
          <w:tcPr>
            <w:tcW w:w="1530" w:type="dxa"/>
            <w:tcBorders>
              <w:top w:val="single" w:sz="4" w:space="0" w:color="auto"/>
              <w:left w:val="single" w:sz="4" w:space="0" w:color="auto"/>
              <w:bottom w:val="single" w:sz="4" w:space="0" w:color="auto"/>
              <w:right w:val="single" w:sz="4" w:space="0" w:color="auto"/>
            </w:tcBorders>
            <w:shd w:val="clear" w:color="000000" w:fill="FFFFFF"/>
            <w:hideMark/>
          </w:tcPr>
          <w:p w:rsidR="00EA2419" w:rsidRPr="00EA2419" w:rsidRDefault="00EA2419" w:rsidP="00EA2419">
            <w:pPr>
              <w:spacing w:after="0" w:line="240" w:lineRule="auto"/>
              <w:rPr>
                <w:rFonts w:eastAsia="Times New Roman" w:cs="Calibri"/>
                <w:bCs/>
                <w:sz w:val="20"/>
                <w:szCs w:val="20"/>
              </w:rPr>
            </w:pPr>
            <w:r w:rsidRPr="00EA2419">
              <w:rPr>
                <w:rFonts w:eastAsia="Times New Roman" w:cs="Calibri"/>
                <w:bCs/>
                <w:sz w:val="20"/>
                <w:szCs w:val="20"/>
              </w:rPr>
              <w:t>Supplemental</w:t>
            </w:r>
          </w:p>
        </w:tc>
      </w:tr>
      <w:tr w:rsidR="00EA2419" w:rsidRPr="00EA2419" w:rsidTr="006C4F95">
        <w:trPr>
          <w:cantSplit/>
          <w:trHeight w:val="600"/>
        </w:trPr>
        <w:tc>
          <w:tcPr>
            <w:tcW w:w="1890" w:type="dxa"/>
            <w:tcBorders>
              <w:top w:val="single" w:sz="4" w:space="0" w:color="auto"/>
              <w:left w:val="single" w:sz="4" w:space="0" w:color="auto"/>
              <w:bottom w:val="single" w:sz="4" w:space="0" w:color="auto"/>
              <w:right w:val="single" w:sz="4" w:space="0" w:color="auto"/>
            </w:tcBorders>
            <w:shd w:val="clear" w:color="000000" w:fill="FFFFFF"/>
            <w:hideMark/>
          </w:tcPr>
          <w:p w:rsidR="00EA2419" w:rsidRPr="00EA2419" w:rsidRDefault="00EA2419" w:rsidP="00EA2419">
            <w:pPr>
              <w:spacing w:after="0" w:line="240" w:lineRule="auto"/>
              <w:rPr>
                <w:rFonts w:eastAsia="Times New Roman" w:cs="Calibri"/>
                <w:bCs/>
                <w:sz w:val="20"/>
                <w:szCs w:val="20"/>
              </w:rPr>
            </w:pPr>
            <w:r w:rsidRPr="00EA2419">
              <w:rPr>
                <w:rFonts w:eastAsia="Times New Roman" w:cs="Calibri"/>
                <w:bCs/>
                <w:sz w:val="20"/>
                <w:szCs w:val="20"/>
              </w:rPr>
              <w:t xml:space="preserve">Functional Assessment of Verbal Reasoning and Executive Strategies – Student Version (FAVRES-S) </w:t>
            </w:r>
          </w:p>
        </w:tc>
        <w:tc>
          <w:tcPr>
            <w:tcW w:w="1170" w:type="dxa"/>
            <w:tcBorders>
              <w:top w:val="single" w:sz="4" w:space="0" w:color="auto"/>
              <w:left w:val="nil"/>
              <w:bottom w:val="single" w:sz="4" w:space="0" w:color="auto"/>
              <w:right w:val="single" w:sz="4" w:space="0" w:color="auto"/>
            </w:tcBorders>
            <w:shd w:val="clear" w:color="000000" w:fill="FFFFFF"/>
            <w:hideMark/>
          </w:tcPr>
          <w:p w:rsidR="00EA2419" w:rsidRPr="00EA2419" w:rsidRDefault="00EA2419" w:rsidP="00EA2419">
            <w:pPr>
              <w:spacing w:after="0" w:line="240" w:lineRule="auto"/>
              <w:rPr>
                <w:rFonts w:eastAsia="Times New Roman" w:cs="Calibri"/>
                <w:bCs/>
                <w:sz w:val="20"/>
                <w:szCs w:val="20"/>
              </w:rPr>
            </w:pPr>
            <w:r w:rsidRPr="00EA2419">
              <w:rPr>
                <w:rFonts w:eastAsia="Times New Roman" w:cs="Calibri"/>
                <w:bCs/>
                <w:sz w:val="20"/>
                <w:szCs w:val="20"/>
              </w:rPr>
              <w:t>Pediatric TBI</w:t>
            </w:r>
          </w:p>
        </w:tc>
        <w:tc>
          <w:tcPr>
            <w:tcW w:w="1530" w:type="dxa"/>
            <w:tcBorders>
              <w:top w:val="single" w:sz="4" w:space="0" w:color="auto"/>
              <w:left w:val="nil"/>
              <w:bottom w:val="single" w:sz="4" w:space="0" w:color="auto"/>
              <w:right w:val="single" w:sz="4" w:space="0" w:color="auto"/>
            </w:tcBorders>
            <w:shd w:val="clear" w:color="000000" w:fill="FFFFFF"/>
            <w:hideMark/>
          </w:tcPr>
          <w:p w:rsidR="00EA2419" w:rsidRPr="00EA2419" w:rsidRDefault="00EA2419" w:rsidP="00EA2419">
            <w:pPr>
              <w:spacing w:after="0" w:line="240" w:lineRule="auto"/>
              <w:rPr>
                <w:rFonts w:eastAsia="Times New Roman" w:cs="Calibri"/>
                <w:bCs/>
                <w:sz w:val="20"/>
                <w:szCs w:val="20"/>
              </w:rPr>
            </w:pPr>
            <w:r w:rsidRPr="00EA2419">
              <w:rPr>
                <w:rFonts w:eastAsia="Times New Roman" w:cs="Calibri"/>
                <w:bCs/>
                <w:sz w:val="20"/>
                <w:szCs w:val="20"/>
              </w:rPr>
              <w:t>Supplemental</w:t>
            </w:r>
          </w:p>
        </w:tc>
        <w:tc>
          <w:tcPr>
            <w:tcW w:w="1530" w:type="dxa"/>
            <w:tcBorders>
              <w:top w:val="single" w:sz="4" w:space="0" w:color="auto"/>
              <w:left w:val="nil"/>
              <w:bottom w:val="single" w:sz="4" w:space="0" w:color="auto"/>
              <w:right w:val="single" w:sz="4" w:space="0" w:color="auto"/>
            </w:tcBorders>
            <w:shd w:val="clear" w:color="000000" w:fill="FFFFFF"/>
            <w:hideMark/>
          </w:tcPr>
          <w:p w:rsidR="00EA2419" w:rsidRPr="00EA2419" w:rsidRDefault="00EA2419" w:rsidP="00EA2419">
            <w:pPr>
              <w:spacing w:after="0" w:line="240" w:lineRule="auto"/>
              <w:rPr>
                <w:rFonts w:eastAsia="Times New Roman" w:cs="Calibri"/>
                <w:bCs/>
                <w:sz w:val="20"/>
                <w:szCs w:val="20"/>
              </w:rPr>
            </w:pPr>
            <w:r w:rsidRPr="00EA2419">
              <w:rPr>
                <w:rFonts w:eastAsia="Times New Roman" w:cs="Calibri"/>
                <w:bCs/>
                <w:sz w:val="20"/>
                <w:szCs w:val="20"/>
              </w:rPr>
              <w:t>Supplemental</w:t>
            </w:r>
          </w:p>
        </w:tc>
        <w:tc>
          <w:tcPr>
            <w:tcW w:w="1530" w:type="dxa"/>
            <w:tcBorders>
              <w:top w:val="single" w:sz="4" w:space="0" w:color="auto"/>
              <w:left w:val="nil"/>
              <w:bottom w:val="single" w:sz="4" w:space="0" w:color="auto"/>
              <w:right w:val="single" w:sz="4" w:space="0" w:color="auto"/>
            </w:tcBorders>
            <w:shd w:val="clear" w:color="000000" w:fill="FFFFFF"/>
          </w:tcPr>
          <w:p w:rsidR="00EA2419" w:rsidRPr="00EA2419" w:rsidRDefault="00EA2419" w:rsidP="00EA2419">
            <w:pPr>
              <w:spacing w:after="0" w:line="240" w:lineRule="auto"/>
              <w:rPr>
                <w:rFonts w:eastAsia="Times New Roman" w:cs="Calibri"/>
                <w:bCs/>
                <w:sz w:val="20"/>
                <w:szCs w:val="20"/>
              </w:rPr>
            </w:pPr>
            <w:r w:rsidRPr="00EA2419">
              <w:rPr>
                <w:rFonts w:eastAsia="Times New Roman" w:cs="Calibri"/>
                <w:bCs/>
                <w:sz w:val="20"/>
                <w:szCs w:val="20"/>
              </w:rPr>
              <w:t>Supplemental</w:t>
            </w:r>
          </w:p>
        </w:tc>
        <w:tc>
          <w:tcPr>
            <w:tcW w:w="1530" w:type="dxa"/>
            <w:tcBorders>
              <w:top w:val="single" w:sz="4" w:space="0" w:color="auto"/>
              <w:left w:val="single" w:sz="4" w:space="0" w:color="auto"/>
              <w:bottom w:val="single" w:sz="4" w:space="0" w:color="auto"/>
              <w:right w:val="single" w:sz="4" w:space="0" w:color="auto"/>
            </w:tcBorders>
            <w:shd w:val="clear" w:color="000000" w:fill="FFFFFF"/>
            <w:hideMark/>
          </w:tcPr>
          <w:p w:rsidR="00EA2419" w:rsidRPr="00EA2419" w:rsidRDefault="00EA2419" w:rsidP="00EA2419">
            <w:pPr>
              <w:spacing w:after="0" w:line="240" w:lineRule="auto"/>
              <w:rPr>
                <w:rFonts w:eastAsia="Times New Roman" w:cs="Calibri"/>
                <w:bCs/>
                <w:sz w:val="20"/>
                <w:szCs w:val="20"/>
              </w:rPr>
            </w:pPr>
            <w:r w:rsidRPr="00EA2419">
              <w:rPr>
                <w:rFonts w:eastAsia="Times New Roman" w:cs="Calibri"/>
                <w:bCs/>
                <w:sz w:val="20"/>
                <w:szCs w:val="20"/>
              </w:rPr>
              <w:t>Supplemental</w:t>
            </w:r>
          </w:p>
        </w:tc>
      </w:tr>
      <w:tr w:rsidR="00EA2419" w:rsidRPr="00EA2419" w:rsidTr="006C4F95">
        <w:trPr>
          <w:cantSplit/>
          <w:trHeight w:val="600"/>
        </w:trPr>
        <w:tc>
          <w:tcPr>
            <w:tcW w:w="1890" w:type="dxa"/>
            <w:tcBorders>
              <w:top w:val="single" w:sz="4" w:space="0" w:color="auto"/>
              <w:left w:val="single" w:sz="4" w:space="0" w:color="auto"/>
              <w:bottom w:val="single" w:sz="4" w:space="0" w:color="auto"/>
              <w:right w:val="single" w:sz="4" w:space="0" w:color="auto"/>
            </w:tcBorders>
            <w:shd w:val="clear" w:color="000000" w:fill="FFFFFF"/>
            <w:hideMark/>
          </w:tcPr>
          <w:p w:rsidR="00EA2419" w:rsidRPr="00EA2419" w:rsidRDefault="00EA2419" w:rsidP="00EA2419">
            <w:pPr>
              <w:spacing w:after="0" w:line="240" w:lineRule="auto"/>
              <w:rPr>
                <w:rFonts w:eastAsia="Times New Roman" w:cs="Calibri"/>
                <w:bCs/>
                <w:sz w:val="20"/>
                <w:szCs w:val="20"/>
              </w:rPr>
            </w:pPr>
            <w:r w:rsidRPr="00EA2419">
              <w:rPr>
                <w:rFonts w:eastAsia="Times New Roman" w:cs="Calibri"/>
                <w:bCs/>
                <w:sz w:val="20"/>
                <w:szCs w:val="20"/>
              </w:rPr>
              <w:t>Grooved Pegboard Test</w:t>
            </w:r>
          </w:p>
        </w:tc>
        <w:tc>
          <w:tcPr>
            <w:tcW w:w="1170" w:type="dxa"/>
            <w:tcBorders>
              <w:top w:val="single" w:sz="4" w:space="0" w:color="auto"/>
              <w:left w:val="nil"/>
              <w:bottom w:val="single" w:sz="4" w:space="0" w:color="auto"/>
              <w:right w:val="single" w:sz="4" w:space="0" w:color="auto"/>
            </w:tcBorders>
            <w:shd w:val="clear" w:color="000000" w:fill="FFFFFF"/>
            <w:hideMark/>
          </w:tcPr>
          <w:p w:rsidR="00EA2419" w:rsidRPr="00EA2419" w:rsidRDefault="00EA2419" w:rsidP="00EA2419">
            <w:pPr>
              <w:spacing w:after="0" w:line="240" w:lineRule="auto"/>
              <w:rPr>
                <w:rFonts w:eastAsia="Times New Roman" w:cs="Calibri"/>
                <w:bCs/>
                <w:sz w:val="20"/>
                <w:szCs w:val="20"/>
              </w:rPr>
            </w:pPr>
            <w:r w:rsidRPr="00EA2419">
              <w:rPr>
                <w:rFonts w:eastAsia="Times New Roman" w:cs="Calibri"/>
                <w:bCs/>
                <w:sz w:val="20"/>
                <w:szCs w:val="20"/>
              </w:rPr>
              <w:t>Adult TBI and Pediatric TBI</w:t>
            </w:r>
          </w:p>
        </w:tc>
        <w:tc>
          <w:tcPr>
            <w:tcW w:w="1530" w:type="dxa"/>
            <w:tcBorders>
              <w:top w:val="single" w:sz="4" w:space="0" w:color="auto"/>
              <w:left w:val="nil"/>
              <w:bottom w:val="single" w:sz="4" w:space="0" w:color="auto"/>
              <w:right w:val="single" w:sz="4" w:space="0" w:color="auto"/>
            </w:tcBorders>
            <w:shd w:val="clear" w:color="000000" w:fill="FFFFFF"/>
            <w:hideMark/>
          </w:tcPr>
          <w:p w:rsidR="00EA2419" w:rsidRPr="00EA2419" w:rsidRDefault="00EA2419" w:rsidP="00EA2419">
            <w:pPr>
              <w:spacing w:after="0" w:line="240" w:lineRule="auto"/>
              <w:rPr>
                <w:rFonts w:eastAsia="Times New Roman" w:cs="Calibri"/>
                <w:bCs/>
                <w:sz w:val="20"/>
                <w:szCs w:val="20"/>
              </w:rPr>
            </w:pPr>
            <w:r w:rsidRPr="00EA2419">
              <w:rPr>
                <w:rFonts w:eastAsia="Times New Roman" w:cs="Calibri"/>
                <w:bCs/>
                <w:sz w:val="20"/>
                <w:szCs w:val="20"/>
              </w:rPr>
              <w:t>Supplemental</w:t>
            </w:r>
          </w:p>
        </w:tc>
        <w:tc>
          <w:tcPr>
            <w:tcW w:w="1530" w:type="dxa"/>
            <w:tcBorders>
              <w:top w:val="single" w:sz="4" w:space="0" w:color="auto"/>
              <w:left w:val="nil"/>
              <w:bottom w:val="single" w:sz="4" w:space="0" w:color="auto"/>
              <w:right w:val="single" w:sz="4" w:space="0" w:color="auto"/>
            </w:tcBorders>
            <w:shd w:val="clear" w:color="000000" w:fill="FFFFFF"/>
            <w:hideMark/>
          </w:tcPr>
          <w:p w:rsidR="00EA2419" w:rsidRPr="00EA2419" w:rsidRDefault="00EA2419" w:rsidP="00EA2419">
            <w:pPr>
              <w:spacing w:after="0" w:line="240" w:lineRule="auto"/>
              <w:rPr>
                <w:rFonts w:eastAsia="Times New Roman" w:cs="Calibri"/>
                <w:bCs/>
                <w:sz w:val="20"/>
                <w:szCs w:val="20"/>
              </w:rPr>
            </w:pPr>
            <w:r w:rsidRPr="00EA2419">
              <w:rPr>
                <w:rFonts w:eastAsia="Times New Roman" w:cs="Calibri"/>
                <w:bCs/>
                <w:sz w:val="20"/>
                <w:szCs w:val="20"/>
              </w:rPr>
              <w:t>Supplemental</w:t>
            </w:r>
          </w:p>
        </w:tc>
        <w:tc>
          <w:tcPr>
            <w:tcW w:w="1530" w:type="dxa"/>
            <w:tcBorders>
              <w:top w:val="single" w:sz="4" w:space="0" w:color="auto"/>
              <w:left w:val="nil"/>
              <w:bottom w:val="single" w:sz="4" w:space="0" w:color="auto"/>
              <w:right w:val="single" w:sz="4" w:space="0" w:color="auto"/>
            </w:tcBorders>
            <w:shd w:val="clear" w:color="000000" w:fill="FFFFFF"/>
          </w:tcPr>
          <w:p w:rsidR="00EA2419" w:rsidRPr="00EA2419" w:rsidRDefault="00EA2419" w:rsidP="00EA2419">
            <w:pPr>
              <w:spacing w:after="0" w:line="240" w:lineRule="auto"/>
              <w:rPr>
                <w:rFonts w:eastAsia="Times New Roman" w:cs="Calibri"/>
                <w:bCs/>
                <w:sz w:val="20"/>
                <w:szCs w:val="20"/>
              </w:rPr>
            </w:pPr>
            <w:r w:rsidRPr="00EA2419">
              <w:rPr>
                <w:rFonts w:eastAsia="Times New Roman" w:cs="Calibri"/>
                <w:bCs/>
                <w:sz w:val="20"/>
                <w:szCs w:val="20"/>
              </w:rPr>
              <w:t>Supplemental</w:t>
            </w:r>
          </w:p>
        </w:tc>
        <w:tc>
          <w:tcPr>
            <w:tcW w:w="1530" w:type="dxa"/>
            <w:tcBorders>
              <w:top w:val="single" w:sz="4" w:space="0" w:color="auto"/>
              <w:left w:val="single" w:sz="4" w:space="0" w:color="auto"/>
              <w:bottom w:val="single" w:sz="4" w:space="0" w:color="auto"/>
              <w:right w:val="single" w:sz="4" w:space="0" w:color="auto"/>
            </w:tcBorders>
            <w:shd w:val="clear" w:color="000000" w:fill="FFFFFF"/>
            <w:hideMark/>
          </w:tcPr>
          <w:p w:rsidR="00EA2419" w:rsidRPr="00EA2419" w:rsidRDefault="00EA2419" w:rsidP="00EA2419">
            <w:pPr>
              <w:spacing w:after="0" w:line="240" w:lineRule="auto"/>
              <w:rPr>
                <w:rFonts w:eastAsia="Times New Roman" w:cs="Calibri"/>
                <w:bCs/>
                <w:sz w:val="20"/>
                <w:szCs w:val="20"/>
              </w:rPr>
            </w:pPr>
            <w:r w:rsidRPr="00EA2419">
              <w:rPr>
                <w:rFonts w:eastAsia="Times New Roman" w:cs="Calibri"/>
                <w:bCs/>
                <w:sz w:val="20"/>
                <w:szCs w:val="20"/>
              </w:rPr>
              <w:t>Supplemental</w:t>
            </w:r>
          </w:p>
        </w:tc>
      </w:tr>
      <w:tr w:rsidR="00EA2419" w:rsidRPr="00EA2419" w:rsidTr="006C4F95">
        <w:trPr>
          <w:cantSplit/>
          <w:trHeight w:val="600"/>
        </w:trPr>
        <w:tc>
          <w:tcPr>
            <w:tcW w:w="1890" w:type="dxa"/>
            <w:tcBorders>
              <w:top w:val="single" w:sz="4" w:space="0" w:color="auto"/>
              <w:left w:val="single" w:sz="4" w:space="0" w:color="auto"/>
              <w:bottom w:val="single" w:sz="4" w:space="0" w:color="auto"/>
              <w:right w:val="single" w:sz="4" w:space="0" w:color="auto"/>
            </w:tcBorders>
            <w:shd w:val="clear" w:color="000000" w:fill="FFFFFF"/>
            <w:hideMark/>
          </w:tcPr>
          <w:p w:rsidR="00EA2419" w:rsidRPr="00EA2419" w:rsidRDefault="00EA2419" w:rsidP="00EA2419">
            <w:pPr>
              <w:spacing w:after="0" w:line="240" w:lineRule="auto"/>
              <w:rPr>
                <w:rFonts w:eastAsia="Times New Roman" w:cs="Calibri"/>
                <w:bCs/>
                <w:sz w:val="20"/>
                <w:szCs w:val="20"/>
              </w:rPr>
            </w:pPr>
            <w:r w:rsidRPr="00EA2419">
              <w:rPr>
                <w:rFonts w:eastAsia="Times New Roman" w:cs="Calibri"/>
                <w:bCs/>
                <w:sz w:val="20"/>
                <w:szCs w:val="20"/>
              </w:rPr>
              <w:t>NIH Toolbox Cognitive Battery</w:t>
            </w:r>
          </w:p>
        </w:tc>
        <w:tc>
          <w:tcPr>
            <w:tcW w:w="1170" w:type="dxa"/>
            <w:tcBorders>
              <w:top w:val="single" w:sz="4" w:space="0" w:color="auto"/>
              <w:left w:val="nil"/>
              <w:bottom w:val="single" w:sz="4" w:space="0" w:color="auto"/>
              <w:right w:val="single" w:sz="4" w:space="0" w:color="auto"/>
            </w:tcBorders>
            <w:shd w:val="clear" w:color="000000" w:fill="FFFFFF"/>
            <w:hideMark/>
          </w:tcPr>
          <w:p w:rsidR="00EA2419" w:rsidRPr="00EA2419" w:rsidRDefault="00EA2419" w:rsidP="00EA2419">
            <w:pPr>
              <w:spacing w:after="0" w:line="240" w:lineRule="auto"/>
              <w:rPr>
                <w:rFonts w:eastAsia="Times New Roman" w:cs="Calibri"/>
                <w:bCs/>
                <w:sz w:val="20"/>
                <w:szCs w:val="20"/>
              </w:rPr>
            </w:pPr>
            <w:r w:rsidRPr="00EA2419">
              <w:rPr>
                <w:rFonts w:eastAsia="Times New Roman" w:cs="Calibri"/>
                <w:bCs/>
                <w:sz w:val="20"/>
                <w:szCs w:val="20"/>
              </w:rPr>
              <w:t>Adult TBI and Pediatric TBI</w:t>
            </w:r>
          </w:p>
        </w:tc>
        <w:tc>
          <w:tcPr>
            <w:tcW w:w="1530" w:type="dxa"/>
            <w:tcBorders>
              <w:top w:val="single" w:sz="4" w:space="0" w:color="auto"/>
              <w:left w:val="nil"/>
              <w:bottom w:val="single" w:sz="4" w:space="0" w:color="auto"/>
              <w:right w:val="single" w:sz="4" w:space="0" w:color="auto"/>
            </w:tcBorders>
            <w:shd w:val="clear" w:color="000000" w:fill="FFFFFF"/>
            <w:hideMark/>
          </w:tcPr>
          <w:p w:rsidR="00EA2419" w:rsidRPr="00EA2419" w:rsidRDefault="00EA2419" w:rsidP="00EA2419">
            <w:pPr>
              <w:spacing w:after="0" w:line="240" w:lineRule="auto"/>
              <w:rPr>
                <w:rFonts w:eastAsia="Times New Roman" w:cs="Calibri"/>
                <w:bCs/>
                <w:sz w:val="20"/>
                <w:szCs w:val="20"/>
              </w:rPr>
            </w:pPr>
            <w:r w:rsidRPr="00EA2419">
              <w:rPr>
                <w:rFonts w:eastAsia="Times New Roman" w:cs="Calibri"/>
                <w:bCs/>
                <w:sz w:val="20"/>
                <w:szCs w:val="20"/>
              </w:rPr>
              <w:t>Supplemental</w:t>
            </w:r>
          </w:p>
        </w:tc>
        <w:tc>
          <w:tcPr>
            <w:tcW w:w="1530" w:type="dxa"/>
            <w:tcBorders>
              <w:top w:val="single" w:sz="4" w:space="0" w:color="auto"/>
              <w:left w:val="nil"/>
              <w:bottom w:val="single" w:sz="4" w:space="0" w:color="auto"/>
              <w:right w:val="single" w:sz="4" w:space="0" w:color="auto"/>
            </w:tcBorders>
            <w:shd w:val="clear" w:color="000000" w:fill="FFFFFF"/>
            <w:hideMark/>
          </w:tcPr>
          <w:p w:rsidR="00EA2419" w:rsidRPr="00EA2419" w:rsidRDefault="00EA2419" w:rsidP="00EA2419">
            <w:pPr>
              <w:spacing w:after="0" w:line="240" w:lineRule="auto"/>
              <w:rPr>
                <w:rFonts w:eastAsia="Times New Roman" w:cs="Calibri"/>
                <w:bCs/>
                <w:sz w:val="20"/>
                <w:szCs w:val="20"/>
              </w:rPr>
            </w:pPr>
            <w:r w:rsidRPr="00EA2419">
              <w:rPr>
                <w:rFonts w:eastAsia="Times New Roman" w:cs="Calibri"/>
                <w:bCs/>
                <w:sz w:val="20"/>
                <w:szCs w:val="20"/>
              </w:rPr>
              <w:t>Supplemental</w:t>
            </w:r>
          </w:p>
        </w:tc>
        <w:tc>
          <w:tcPr>
            <w:tcW w:w="1530" w:type="dxa"/>
            <w:tcBorders>
              <w:top w:val="single" w:sz="4" w:space="0" w:color="auto"/>
              <w:left w:val="nil"/>
              <w:bottom w:val="single" w:sz="4" w:space="0" w:color="auto"/>
              <w:right w:val="single" w:sz="4" w:space="0" w:color="auto"/>
            </w:tcBorders>
            <w:shd w:val="clear" w:color="000000" w:fill="FFFFFF"/>
          </w:tcPr>
          <w:p w:rsidR="00EA2419" w:rsidRPr="00EA2419" w:rsidRDefault="00EA2419" w:rsidP="00EA2419">
            <w:pPr>
              <w:spacing w:after="0" w:line="240" w:lineRule="auto"/>
              <w:rPr>
                <w:rFonts w:eastAsia="Times New Roman" w:cs="Calibri"/>
                <w:bCs/>
                <w:sz w:val="20"/>
                <w:szCs w:val="20"/>
              </w:rPr>
            </w:pPr>
            <w:r w:rsidRPr="00EA2419">
              <w:rPr>
                <w:rFonts w:eastAsia="Times New Roman" w:cs="Calibri"/>
                <w:bCs/>
                <w:sz w:val="20"/>
                <w:szCs w:val="20"/>
              </w:rPr>
              <w:t>Supplemental</w:t>
            </w:r>
          </w:p>
        </w:tc>
        <w:tc>
          <w:tcPr>
            <w:tcW w:w="1530" w:type="dxa"/>
            <w:tcBorders>
              <w:top w:val="single" w:sz="4" w:space="0" w:color="auto"/>
              <w:left w:val="single" w:sz="4" w:space="0" w:color="auto"/>
              <w:bottom w:val="single" w:sz="4" w:space="0" w:color="auto"/>
              <w:right w:val="single" w:sz="4" w:space="0" w:color="auto"/>
            </w:tcBorders>
            <w:shd w:val="clear" w:color="000000" w:fill="FFFFFF"/>
            <w:hideMark/>
          </w:tcPr>
          <w:p w:rsidR="00EA2419" w:rsidRPr="00EA2419" w:rsidRDefault="00EA2419" w:rsidP="00EA2419">
            <w:pPr>
              <w:spacing w:after="0" w:line="240" w:lineRule="auto"/>
              <w:rPr>
                <w:rFonts w:eastAsia="Times New Roman" w:cs="Calibri"/>
                <w:bCs/>
                <w:sz w:val="20"/>
                <w:szCs w:val="20"/>
              </w:rPr>
            </w:pPr>
            <w:r w:rsidRPr="00EA2419">
              <w:rPr>
                <w:rFonts w:eastAsia="Times New Roman" w:cs="Calibri"/>
                <w:bCs/>
                <w:sz w:val="20"/>
                <w:szCs w:val="20"/>
              </w:rPr>
              <w:t>Supplemental</w:t>
            </w:r>
          </w:p>
        </w:tc>
      </w:tr>
      <w:tr w:rsidR="00EA2419" w:rsidRPr="00EA2419" w:rsidTr="006C4F95">
        <w:trPr>
          <w:cantSplit/>
          <w:trHeight w:val="600"/>
        </w:trPr>
        <w:tc>
          <w:tcPr>
            <w:tcW w:w="1890" w:type="dxa"/>
            <w:tcBorders>
              <w:top w:val="single" w:sz="4" w:space="0" w:color="auto"/>
              <w:left w:val="single" w:sz="4" w:space="0" w:color="auto"/>
              <w:bottom w:val="single" w:sz="4" w:space="0" w:color="auto"/>
              <w:right w:val="single" w:sz="4" w:space="0" w:color="auto"/>
            </w:tcBorders>
            <w:shd w:val="clear" w:color="000000" w:fill="FFFFFF"/>
            <w:hideMark/>
          </w:tcPr>
          <w:p w:rsidR="00EA2419" w:rsidRPr="00EA2419" w:rsidRDefault="00EA2419" w:rsidP="00EA2419">
            <w:pPr>
              <w:spacing w:after="0" w:line="240" w:lineRule="auto"/>
              <w:rPr>
                <w:rFonts w:eastAsia="Times New Roman" w:cs="Calibri"/>
                <w:bCs/>
                <w:sz w:val="20"/>
                <w:szCs w:val="20"/>
              </w:rPr>
            </w:pPr>
            <w:r w:rsidRPr="00EA2419">
              <w:rPr>
                <w:rFonts w:eastAsia="Times New Roman" w:cs="Calibri"/>
                <w:bCs/>
                <w:sz w:val="20"/>
                <w:szCs w:val="20"/>
              </w:rPr>
              <w:t>Rey Auditory Verbal Learning Test (RAVLT)</w:t>
            </w:r>
          </w:p>
        </w:tc>
        <w:tc>
          <w:tcPr>
            <w:tcW w:w="1170" w:type="dxa"/>
            <w:tcBorders>
              <w:top w:val="single" w:sz="4" w:space="0" w:color="auto"/>
              <w:left w:val="nil"/>
              <w:bottom w:val="single" w:sz="4" w:space="0" w:color="auto"/>
              <w:right w:val="single" w:sz="4" w:space="0" w:color="auto"/>
            </w:tcBorders>
            <w:shd w:val="clear" w:color="000000" w:fill="FFFFFF"/>
            <w:hideMark/>
          </w:tcPr>
          <w:p w:rsidR="00EA2419" w:rsidRPr="00EA2419" w:rsidRDefault="00EA2419" w:rsidP="00EA2419">
            <w:pPr>
              <w:spacing w:after="0" w:line="240" w:lineRule="auto"/>
              <w:rPr>
                <w:rFonts w:eastAsia="Times New Roman" w:cs="Calibri"/>
                <w:bCs/>
                <w:sz w:val="20"/>
                <w:szCs w:val="20"/>
              </w:rPr>
            </w:pPr>
            <w:r w:rsidRPr="00EA2419">
              <w:rPr>
                <w:rFonts w:eastAsia="Times New Roman" w:cs="Calibri"/>
                <w:bCs/>
                <w:sz w:val="20"/>
                <w:szCs w:val="20"/>
              </w:rPr>
              <w:t>Adult TBI and Pediatric TBI</w:t>
            </w:r>
          </w:p>
        </w:tc>
        <w:tc>
          <w:tcPr>
            <w:tcW w:w="1530" w:type="dxa"/>
            <w:tcBorders>
              <w:top w:val="single" w:sz="4" w:space="0" w:color="auto"/>
              <w:left w:val="nil"/>
              <w:bottom w:val="single" w:sz="4" w:space="0" w:color="auto"/>
              <w:right w:val="single" w:sz="4" w:space="0" w:color="auto"/>
            </w:tcBorders>
            <w:shd w:val="clear" w:color="000000" w:fill="FFFFFF"/>
            <w:hideMark/>
          </w:tcPr>
          <w:p w:rsidR="00EA2419" w:rsidRPr="00EA2419" w:rsidRDefault="00EA2419" w:rsidP="00EA2419">
            <w:pPr>
              <w:spacing w:after="0" w:line="240" w:lineRule="auto"/>
              <w:rPr>
                <w:rFonts w:eastAsia="Times New Roman" w:cs="Calibri"/>
                <w:bCs/>
                <w:sz w:val="20"/>
                <w:szCs w:val="20"/>
              </w:rPr>
            </w:pPr>
            <w:r w:rsidRPr="00EA2419">
              <w:rPr>
                <w:rFonts w:eastAsia="Times New Roman" w:cs="Calibri"/>
                <w:bCs/>
                <w:sz w:val="20"/>
                <w:szCs w:val="20"/>
              </w:rPr>
              <w:t>Basic</w:t>
            </w:r>
          </w:p>
        </w:tc>
        <w:tc>
          <w:tcPr>
            <w:tcW w:w="1530" w:type="dxa"/>
            <w:tcBorders>
              <w:top w:val="single" w:sz="4" w:space="0" w:color="auto"/>
              <w:left w:val="nil"/>
              <w:bottom w:val="single" w:sz="4" w:space="0" w:color="auto"/>
              <w:right w:val="single" w:sz="4" w:space="0" w:color="auto"/>
            </w:tcBorders>
            <w:shd w:val="clear" w:color="000000" w:fill="FFFFFF"/>
            <w:hideMark/>
          </w:tcPr>
          <w:p w:rsidR="00EA2419" w:rsidRPr="00EA2419" w:rsidRDefault="00EA2419" w:rsidP="00EA2419">
            <w:pPr>
              <w:spacing w:after="0" w:line="240" w:lineRule="auto"/>
              <w:rPr>
                <w:rFonts w:eastAsia="Times New Roman" w:cs="Calibri"/>
                <w:bCs/>
                <w:sz w:val="20"/>
                <w:szCs w:val="20"/>
              </w:rPr>
            </w:pPr>
            <w:r w:rsidRPr="00EA2419">
              <w:rPr>
                <w:rFonts w:eastAsia="Times New Roman" w:cs="Calibri"/>
                <w:bCs/>
                <w:sz w:val="20"/>
                <w:szCs w:val="20"/>
              </w:rPr>
              <w:t>Basic</w:t>
            </w:r>
          </w:p>
        </w:tc>
        <w:tc>
          <w:tcPr>
            <w:tcW w:w="1530" w:type="dxa"/>
            <w:tcBorders>
              <w:top w:val="single" w:sz="4" w:space="0" w:color="auto"/>
              <w:left w:val="nil"/>
              <w:bottom w:val="single" w:sz="4" w:space="0" w:color="auto"/>
              <w:right w:val="single" w:sz="4" w:space="0" w:color="auto"/>
            </w:tcBorders>
            <w:shd w:val="clear" w:color="000000" w:fill="FFFFFF"/>
          </w:tcPr>
          <w:p w:rsidR="00EA2419" w:rsidRPr="00EA2419" w:rsidRDefault="00EA2419" w:rsidP="0085772F">
            <w:pPr>
              <w:spacing w:after="0" w:line="240" w:lineRule="auto"/>
              <w:rPr>
                <w:rFonts w:eastAsia="Times New Roman" w:cs="Calibri"/>
                <w:bCs/>
                <w:sz w:val="20"/>
                <w:szCs w:val="20"/>
              </w:rPr>
            </w:pPr>
            <w:r w:rsidRPr="00EA2419">
              <w:rPr>
                <w:rFonts w:eastAsia="Times New Roman" w:cs="Calibri"/>
                <w:bCs/>
                <w:sz w:val="20"/>
                <w:szCs w:val="20"/>
              </w:rPr>
              <w:t>Basic</w:t>
            </w:r>
          </w:p>
        </w:tc>
        <w:tc>
          <w:tcPr>
            <w:tcW w:w="1530" w:type="dxa"/>
            <w:tcBorders>
              <w:top w:val="single" w:sz="4" w:space="0" w:color="auto"/>
              <w:left w:val="single" w:sz="4" w:space="0" w:color="auto"/>
              <w:bottom w:val="single" w:sz="4" w:space="0" w:color="auto"/>
              <w:right w:val="single" w:sz="4" w:space="0" w:color="auto"/>
            </w:tcBorders>
            <w:shd w:val="clear" w:color="000000" w:fill="FFFFFF"/>
            <w:hideMark/>
          </w:tcPr>
          <w:p w:rsidR="00EA2419" w:rsidRPr="00EA2419" w:rsidRDefault="00EA2419" w:rsidP="0085772F">
            <w:pPr>
              <w:spacing w:after="0" w:line="240" w:lineRule="auto"/>
              <w:rPr>
                <w:rFonts w:eastAsia="Times New Roman" w:cs="Calibri"/>
                <w:bCs/>
                <w:sz w:val="20"/>
                <w:szCs w:val="20"/>
              </w:rPr>
            </w:pPr>
            <w:r w:rsidRPr="00EA2419">
              <w:rPr>
                <w:rFonts w:eastAsia="Times New Roman" w:cs="Calibri"/>
                <w:bCs/>
                <w:sz w:val="20"/>
                <w:szCs w:val="20"/>
              </w:rPr>
              <w:t>Supplemental</w:t>
            </w:r>
          </w:p>
        </w:tc>
      </w:tr>
      <w:tr w:rsidR="00EA2419" w:rsidRPr="00EA2419" w:rsidTr="006C4F95">
        <w:trPr>
          <w:cantSplit/>
          <w:trHeight w:val="600"/>
        </w:trPr>
        <w:tc>
          <w:tcPr>
            <w:tcW w:w="1890" w:type="dxa"/>
            <w:tcBorders>
              <w:top w:val="single" w:sz="4" w:space="0" w:color="auto"/>
              <w:left w:val="single" w:sz="4" w:space="0" w:color="auto"/>
              <w:bottom w:val="single" w:sz="4" w:space="0" w:color="auto"/>
              <w:right w:val="single" w:sz="4" w:space="0" w:color="auto"/>
            </w:tcBorders>
            <w:shd w:val="clear" w:color="000000" w:fill="FFFFFF"/>
            <w:hideMark/>
          </w:tcPr>
          <w:p w:rsidR="00EA2419" w:rsidRPr="00EA2419" w:rsidRDefault="00EA2419" w:rsidP="00EA2419">
            <w:pPr>
              <w:spacing w:after="0" w:line="240" w:lineRule="auto"/>
              <w:rPr>
                <w:rFonts w:eastAsia="Times New Roman" w:cs="Calibri"/>
                <w:bCs/>
                <w:sz w:val="20"/>
                <w:szCs w:val="20"/>
              </w:rPr>
            </w:pPr>
            <w:r w:rsidRPr="00EA2419">
              <w:rPr>
                <w:rFonts w:eastAsia="Times New Roman" w:cs="Calibri"/>
                <w:bCs/>
                <w:sz w:val="20"/>
                <w:szCs w:val="20"/>
              </w:rPr>
              <w:t>Symbol Digit Modalities Test</w:t>
            </w:r>
          </w:p>
        </w:tc>
        <w:tc>
          <w:tcPr>
            <w:tcW w:w="1170" w:type="dxa"/>
            <w:tcBorders>
              <w:top w:val="single" w:sz="4" w:space="0" w:color="auto"/>
              <w:left w:val="nil"/>
              <w:bottom w:val="single" w:sz="4" w:space="0" w:color="auto"/>
              <w:right w:val="single" w:sz="4" w:space="0" w:color="auto"/>
            </w:tcBorders>
            <w:shd w:val="clear" w:color="000000" w:fill="FFFFFF"/>
            <w:hideMark/>
          </w:tcPr>
          <w:p w:rsidR="00EA2419" w:rsidRPr="00EA2419" w:rsidRDefault="00EA2419" w:rsidP="00EA2419">
            <w:pPr>
              <w:spacing w:after="0" w:line="240" w:lineRule="auto"/>
              <w:rPr>
                <w:rFonts w:eastAsia="Times New Roman" w:cs="Calibri"/>
                <w:bCs/>
                <w:sz w:val="20"/>
                <w:szCs w:val="20"/>
              </w:rPr>
            </w:pPr>
            <w:r w:rsidRPr="00EA2419">
              <w:rPr>
                <w:rFonts w:eastAsia="Times New Roman" w:cs="Calibri"/>
                <w:bCs/>
                <w:sz w:val="20"/>
                <w:szCs w:val="20"/>
              </w:rPr>
              <w:t>Adult TBI and Pediatric TBI</w:t>
            </w:r>
          </w:p>
        </w:tc>
        <w:tc>
          <w:tcPr>
            <w:tcW w:w="1530" w:type="dxa"/>
            <w:tcBorders>
              <w:top w:val="single" w:sz="4" w:space="0" w:color="auto"/>
              <w:left w:val="nil"/>
              <w:bottom w:val="single" w:sz="4" w:space="0" w:color="auto"/>
              <w:right w:val="single" w:sz="4" w:space="0" w:color="auto"/>
            </w:tcBorders>
            <w:shd w:val="clear" w:color="000000" w:fill="FFFFFF"/>
            <w:hideMark/>
          </w:tcPr>
          <w:p w:rsidR="00EA2419" w:rsidRPr="00EA2419" w:rsidRDefault="00EA2419" w:rsidP="00EA2419">
            <w:pPr>
              <w:spacing w:after="0" w:line="240" w:lineRule="auto"/>
              <w:rPr>
                <w:rFonts w:eastAsia="Times New Roman" w:cs="Calibri"/>
                <w:bCs/>
                <w:sz w:val="20"/>
                <w:szCs w:val="20"/>
              </w:rPr>
            </w:pPr>
            <w:r w:rsidRPr="00EA2419">
              <w:rPr>
                <w:rFonts w:eastAsia="Times New Roman" w:cs="Calibri"/>
                <w:bCs/>
                <w:sz w:val="20"/>
                <w:szCs w:val="20"/>
              </w:rPr>
              <w:t>Supplemental</w:t>
            </w:r>
          </w:p>
        </w:tc>
        <w:tc>
          <w:tcPr>
            <w:tcW w:w="1530" w:type="dxa"/>
            <w:tcBorders>
              <w:top w:val="single" w:sz="4" w:space="0" w:color="auto"/>
              <w:left w:val="nil"/>
              <w:bottom w:val="single" w:sz="4" w:space="0" w:color="auto"/>
              <w:right w:val="single" w:sz="4" w:space="0" w:color="auto"/>
            </w:tcBorders>
            <w:shd w:val="clear" w:color="000000" w:fill="FFFFFF"/>
            <w:hideMark/>
          </w:tcPr>
          <w:p w:rsidR="00EA2419" w:rsidRPr="00EA2419" w:rsidRDefault="00EA2419" w:rsidP="00EA2419">
            <w:pPr>
              <w:spacing w:after="0" w:line="240" w:lineRule="auto"/>
              <w:rPr>
                <w:rFonts w:eastAsia="Times New Roman" w:cs="Calibri"/>
                <w:bCs/>
                <w:sz w:val="20"/>
                <w:szCs w:val="20"/>
              </w:rPr>
            </w:pPr>
            <w:r w:rsidRPr="00EA2419">
              <w:rPr>
                <w:rFonts w:eastAsia="Times New Roman" w:cs="Calibri"/>
                <w:bCs/>
                <w:sz w:val="20"/>
                <w:szCs w:val="20"/>
              </w:rPr>
              <w:t>Supplemental</w:t>
            </w:r>
          </w:p>
        </w:tc>
        <w:tc>
          <w:tcPr>
            <w:tcW w:w="1530" w:type="dxa"/>
            <w:tcBorders>
              <w:top w:val="single" w:sz="4" w:space="0" w:color="auto"/>
              <w:left w:val="nil"/>
              <w:bottom w:val="single" w:sz="4" w:space="0" w:color="auto"/>
              <w:right w:val="single" w:sz="4" w:space="0" w:color="auto"/>
            </w:tcBorders>
            <w:shd w:val="clear" w:color="000000" w:fill="FFFFFF"/>
          </w:tcPr>
          <w:p w:rsidR="00EA2419" w:rsidRPr="00EA2419" w:rsidRDefault="00EA2419" w:rsidP="00EA2419">
            <w:pPr>
              <w:spacing w:after="0" w:line="240" w:lineRule="auto"/>
              <w:rPr>
                <w:rFonts w:eastAsia="Times New Roman" w:cs="Calibri"/>
                <w:bCs/>
                <w:sz w:val="20"/>
                <w:szCs w:val="20"/>
              </w:rPr>
            </w:pPr>
            <w:r w:rsidRPr="00EA2419">
              <w:rPr>
                <w:rFonts w:eastAsia="Times New Roman" w:cs="Calibri"/>
                <w:bCs/>
                <w:sz w:val="20"/>
                <w:szCs w:val="20"/>
              </w:rPr>
              <w:t>Supplemental</w:t>
            </w:r>
          </w:p>
        </w:tc>
        <w:tc>
          <w:tcPr>
            <w:tcW w:w="1530" w:type="dxa"/>
            <w:tcBorders>
              <w:top w:val="single" w:sz="4" w:space="0" w:color="auto"/>
              <w:left w:val="single" w:sz="4" w:space="0" w:color="auto"/>
              <w:bottom w:val="single" w:sz="4" w:space="0" w:color="auto"/>
              <w:right w:val="single" w:sz="4" w:space="0" w:color="auto"/>
            </w:tcBorders>
            <w:shd w:val="clear" w:color="000000" w:fill="FFFFFF"/>
            <w:hideMark/>
          </w:tcPr>
          <w:p w:rsidR="00EA2419" w:rsidRPr="00EA2419" w:rsidRDefault="00EA2419" w:rsidP="00EA2419">
            <w:pPr>
              <w:spacing w:after="0" w:line="240" w:lineRule="auto"/>
              <w:rPr>
                <w:rFonts w:eastAsia="Times New Roman" w:cs="Calibri"/>
                <w:bCs/>
                <w:sz w:val="20"/>
                <w:szCs w:val="20"/>
              </w:rPr>
            </w:pPr>
            <w:r w:rsidRPr="00EA2419">
              <w:rPr>
                <w:rFonts w:eastAsia="Times New Roman" w:cs="Calibri"/>
                <w:bCs/>
                <w:sz w:val="20"/>
                <w:szCs w:val="20"/>
              </w:rPr>
              <w:t>Supplemental</w:t>
            </w:r>
          </w:p>
        </w:tc>
      </w:tr>
      <w:tr w:rsidR="00EA2419" w:rsidRPr="00EA2419" w:rsidTr="006C4F95">
        <w:trPr>
          <w:cantSplit/>
          <w:trHeight w:val="600"/>
        </w:trPr>
        <w:tc>
          <w:tcPr>
            <w:tcW w:w="1890" w:type="dxa"/>
            <w:tcBorders>
              <w:top w:val="single" w:sz="4" w:space="0" w:color="auto"/>
              <w:left w:val="single" w:sz="4" w:space="0" w:color="auto"/>
              <w:bottom w:val="single" w:sz="4" w:space="0" w:color="auto"/>
              <w:right w:val="single" w:sz="4" w:space="0" w:color="auto"/>
            </w:tcBorders>
            <w:shd w:val="clear" w:color="000000" w:fill="FFFFFF"/>
            <w:hideMark/>
          </w:tcPr>
          <w:p w:rsidR="00EA2419" w:rsidRPr="00EA2419" w:rsidRDefault="00EA2419" w:rsidP="00EA2419">
            <w:pPr>
              <w:spacing w:after="0" w:line="240" w:lineRule="auto"/>
              <w:rPr>
                <w:rFonts w:eastAsia="Times New Roman" w:cs="Calibri"/>
                <w:bCs/>
                <w:sz w:val="20"/>
                <w:szCs w:val="20"/>
              </w:rPr>
            </w:pPr>
            <w:bookmarkStart w:id="0" w:name="_Hlk331070003"/>
            <w:r w:rsidRPr="00EA2419">
              <w:rPr>
                <w:rFonts w:eastAsia="Times New Roman" w:cs="Calibri"/>
                <w:bCs/>
                <w:sz w:val="20"/>
                <w:szCs w:val="20"/>
              </w:rPr>
              <w:t xml:space="preserve">Test of Everyday Attention (Tea-Ch) </w:t>
            </w:r>
          </w:p>
        </w:tc>
        <w:tc>
          <w:tcPr>
            <w:tcW w:w="1170" w:type="dxa"/>
            <w:tcBorders>
              <w:top w:val="single" w:sz="4" w:space="0" w:color="auto"/>
              <w:left w:val="nil"/>
              <w:bottom w:val="single" w:sz="4" w:space="0" w:color="auto"/>
              <w:right w:val="single" w:sz="4" w:space="0" w:color="auto"/>
            </w:tcBorders>
            <w:shd w:val="clear" w:color="000000" w:fill="FFFFFF"/>
            <w:hideMark/>
          </w:tcPr>
          <w:p w:rsidR="00EA2419" w:rsidRPr="00EA2419" w:rsidRDefault="00EA2419" w:rsidP="00EA2419">
            <w:pPr>
              <w:spacing w:after="0" w:line="240" w:lineRule="auto"/>
              <w:rPr>
                <w:rFonts w:eastAsia="Times New Roman" w:cs="Calibri"/>
                <w:bCs/>
                <w:sz w:val="20"/>
                <w:szCs w:val="20"/>
              </w:rPr>
            </w:pPr>
            <w:r w:rsidRPr="00EA2419">
              <w:rPr>
                <w:rFonts w:eastAsia="Times New Roman" w:cs="Calibri"/>
                <w:bCs/>
                <w:sz w:val="20"/>
                <w:szCs w:val="20"/>
              </w:rPr>
              <w:t>Pediatric TBI</w:t>
            </w:r>
          </w:p>
        </w:tc>
        <w:tc>
          <w:tcPr>
            <w:tcW w:w="1530" w:type="dxa"/>
            <w:tcBorders>
              <w:top w:val="single" w:sz="4" w:space="0" w:color="auto"/>
              <w:left w:val="nil"/>
              <w:bottom w:val="single" w:sz="4" w:space="0" w:color="auto"/>
              <w:right w:val="single" w:sz="4" w:space="0" w:color="auto"/>
            </w:tcBorders>
            <w:shd w:val="clear" w:color="000000" w:fill="FFFFFF"/>
            <w:hideMark/>
          </w:tcPr>
          <w:p w:rsidR="00EA2419" w:rsidRPr="00EA2419" w:rsidRDefault="00EA2419" w:rsidP="00EA2419">
            <w:pPr>
              <w:spacing w:after="0" w:line="240" w:lineRule="auto"/>
              <w:rPr>
                <w:rFonts w:eastAsia="Times New Roman" w:cs="Calibri"/>
                <w:bCs/>
                <w:sz w:val="20"/>
                <w:szCs w:val="20"/>
              </w:rPr>
            </w:pPr>
            <w:r w:rsidRPr="00EA2419">
              <w:rPr>
                <w:rFonts w:eastAsia="Times New Roman" w:cs="Calibri"/>
                <w:bCs/>
                <w:sz w:val="20"/>
                <w:szCs w:val="20"/>
              </w:rPr>
              <w:t>Supplemental</w:t>
            </w:r>
          </w:p>
        </w:tc>
        <w:tc>
          <w:tcPr>
            <w:tcW w:w="1530" w:type="dxa"/>
            <w:tcBorders>
              <w:top w:val="single" w:sz="4" w:space="0" w:color="auto"/>
              <w:left w:val="nil"/>
              <w:bottom w:val="single" w:sz="4" w:space="0" w:color="auto"/>
              <w:right w:val="single" w:sz="4" w:space="0" w:color="auto"/>
            </w:tcBorders>
            <w:shd w:val="clear" w:color="000000" w:fill="FFFFFF"/>
            <w:hideMark/>
          </w:tcPr>
          <w:p w:rsidR="00EA2419" w:rsidRPr="00EA2419" w:rsidRDefault="00EA2419" w:rsidP="00EA2419">
            <w:pPr>
              <w:spacing w:after="0" w:line="240" w:lineRule="auto"/>
              <w:rPr>
                <w:rFonts w:eastAsia="Times New Roman" w:cs="Calibri"/>
                <w:bCs/>
                <w:sz w:val="20"/>
                <w:szCs w:val="20"/>
              </w:rPr>
            </w:pPr>
            <w:r w:rsidRPr="00EA2419">
              <w:rPr>
                <w:rFonts w:eastAsia="Times New Roman" w:cs="Calibri"/>
                <w:bCs/>
                <w:sz w:val="20"/>
                <w:szCs w:val="20"/>
              </w:rPr>
              <w:t>Supplemental</w:t>
            </w:r>
          </w:p>
        </w:tc>
        <w:tc>
          <w:tcPr>
            <w:tcW w:w="1530" w:type="dxa"/>
            <w:tcBorders>
              <w:top w:val="single" w:sz="4" w:space="0" w:color="auto"/>
              <w:left w:val="nil"/>
              <w:bottom w:val="single" w:sz="4" w:space="0" w:color="auto"/>
              <w:right w:val="single" w:sz="4" w:space="0" w:color="auto"/>
            </w:tcBorders>
            <w:shd w:val="clear" w:color="000000" w:fill="FFFFFF"/>
          </w:tcPr>
          <w:p w:rsidR="00EA2419" w:rsidRPr="00EA2419" w:rsidRDefault="00EA2419" w:rsidP="00EA2419">
            <w:pPr>
              <w:spacing w:after="0" w:line="240" w:lineRule="auto"/>
              <w:rPr>
                <w:rFonts w:eastAsia="Times New Roman" w:cs="Calibri"/>
                <w:bCs/>
                <w:sz w:val="20"/>
                <w:szCs w:val="20"/>
              </w:rPr>
            </w:pPr>
            <w:r w:rsidRPr="00EA2419">
              <w:rPr>
                <w:rFonts w:eastAsia="Times New Roman" w:cs="Calibri"/>
                <w:bCs/>
                <w:sz w:val="20"/>
                <w:szCs w:val="20"/>
              </w:rPr>
              <w:t>Supplemental</w:t>
            </w:r>
          </w:p>
        </w:tc>
        <w:tc>
          <w:tcPr>
            <w:tcW w:w="1530" w:type="dxa"/>
            <w:tcBorders>
              <w:top w:val="single" w:sz="4" w:space="0" w:color="auto"/>
              <w:left w:val="single" w:sz="4" w:space="0" w:color="auto"/>
              <w:bottom w:val="single" w:sz="4" w:space="0" w:color="auto"/>
              <w:right w:val="single" w:sz="4" w:space="0" w:color="auto"/>
            </w:tcBorders>
            <w:shd w:val="clear" w:color="000000" w:fill="FFFFFF"/>
            <w:hideMark/>
          </w:tcPr>
          <w:p w:rsidR="00EA2419" w:rsidRPr="00EA2419" w:rsidRDefault="00EA2419" w:rsidP="00EA2419">
            <w:pPr>
              <w:spacing w:after="0" w:line="240" w:lineRule="auto"/>
              <w:rPr>
                <w:rFonts w:eastAsia="Times New Roman" w:cs="Calibri"/>
                <w:bCs/>
                <w:sz w:val="20"/>
                <w:szCs w:val="20"/>
              </w:rPr>
            </w:pPr>
            <w:r w:rsidRPr="00EA2419">
              <w:rPr>
                <w:rFonts w:eastAsia="Times New Roman" w:cs="Calibri"/>
                <w:bCs/>
                <w:sz w:val="20"/>
                <w:szCs w:val="20"/>
              </w:rPr>
              <w:t>Supplemental</w:t>
            </w:r>
          </w:p>
        </w:tc>
      </w:tr>
      <w:tr w:rsidR="00EA2419" w:rsidRPr="00EA2419" w:rsidTr="006C4F95">
        <w:trPr>
          <w:cantSplit/>
          <w:trHeight w:val="600"/>
        </w:trPr>
        <w:tc>
          <w:tcPr>
            <w:tcW w:w="1890" w:type="dxa"/>
            <w:tcBorders>
              <w:top w:val="single" w:sz="4" w:space="0" w:color="auto"/>
              <w:left w:val="single" w:sz="4" w:space="0" w:color="auto"/>
              <w:bottom w:val="single" w:sz="4" w:space="0" w:color="auto"/>
              <w:right w:val="single" w:sz="4" w:space="0" w:color="auto"/>
            </w:tcBorders>
            <w:shd w:val="clear" w:color="000000" w:fill="FFFFFF"/>
            <w:hideMark/>
          </w:tcPr>
          <w:p w:rsidR="00EA2419" w:rsidRPr="00EA2419" w:rsidRDefault="00EA2419" w:rsidP="00EA2419">
            <w:pPr>
              <w:spacing w:after="0" w:line="240" w:lineRule="auto"/>
              <w:rPr>
                <w:rFonts w:eastAsia="Times New Roman" w:cs="Calibri"/>
                <w:bCs/>
                <w:sz w:val="20"/>
                <w:szCs w:val="20"/>
              </w:rPr>
            </w:pPr>
            <w:r w:rsidRPr="00EA2419">
              <w:rPr>
                <w:rFonts w:eastAsia="Times New Roman" w:cs="Calibri"/>
                <w:bCs/>
                <w:sz w:val="20"/>
                <w:szCs w:val="20"/>
              </w:rPr>
              <w:t>Test of Executive Control (TEC)</w:t>
            </w:r>
          </w:p>
        </w:tc>
        <w:tc>
          <w:tcPr>
            <w:tcW w:w="1170" w:type="dxa"/>
            <w:tcBorders>
              <w:top w:val="single" w:sz="4" w:space="0" w:color="auto"/>
              <w:left w:val="nil"/>
              <w:bottom w:val="single" w:sz="4" w:space="0" w:color="auto"/>
              <w:right w:val="single" w:sz="4" w:space="0" w:color="auto"/>
            </w:tcBorders>
            <w:shd w:val="clear" w:color="000000" w:fill="FFFFFF"/>
            <w:hideMark/>
          </w:tcPr>
          <w:p w:rsidR="00EA2419" w:rsidRPr="00EA2419" w:rsidRDefault="00EA2419" w:rsidP="00EA2419">
            <w:pPr>
              <w:spacing w:after="0" w:line="240" w:lineRule="auto"/>
              <w:rPr>
                <w:rFonts w:eastAsia="Times New Roman" w:cs="Calibri"/>
                <w:bCs/>
                <w:sz w:val="20"/>
                <w:szCs w:val="20"/>
              </w:rPr>
            </w:pPr>
            <w:r w:rsidRPr="00EA2419">
              <w:rPr>
                <w:rFonts w:eastAsia="Times New Roman" w:cs="Calibri"/>
                <w:bCs/>
                <w:sz w:val="20"/>
                <w:szCs w:val="20"/>
              </w:rPr>
              <w:t>Pediatric TBI</w:t>
            </w:r>
          </w:p>
        </w:tc>
        <w:tc>
          <w:tcPr>
            <w:tcW w:w="1530" w:type="dxa"/>
            <w:tcBorders>
              <w:top w:val="single" w:sz="4" w:space="0" w:color="auto"/>
              <w:left w:val="nil"/>
              <w:bottom w:val="single" w:sz="4" w:space="0" w:color="auto"/>
              <w:right w:val="single" w:sz="4" w:space="0" w:color="auto"/>
            </w:tcBorders>
            <w:shd w:val="clear" w:color="000000" w:fill="FFFFFF"/>
            <w:hideMark/>
          </w:tcPr>
          <w:p w:rsidR="00EA2419" w:rsidRPr="00EA2419" w:rsidRDefault="00EA2419" w:rsidP="00EA2419">
            <w:pPr>
              <w:spacing w:after="0" w:line="240" w:lineRule="auto"/>
              <w:rPr>
                <w:rFonts w:eastAsia="Times New Roman" w:cs="Calibri"/>
                <w:bCs/>
                <w:sz w:val="20"/>
                <w:szCs w:val="20"/>
              </w:rPr>
            </w:pPr>
            <w:r w:rsidRPr="00EA2419">
              <w:rPr>
                <w:rFonts w:eastAsia="Times New Roman" w:cs="Calibri"/>
                <w:bCs/>
                <w:sz w:val="20"/>
                <w:szCs w:val="20"/>
              </w:rPr>
              <w:t>Supplemental</w:t>
            </w:r>
          </w:p>
        </w:tc>
        <w:tc>
          <w:tcPr>
            <w:tcW w:w="1530" w:type="dxa"/>
            <w:tcBorders>
              <w:top w:val="single" w:sz="4" w:space="0" w:color="auto"/>
              <w:left w:val="nil"/>
              <w:bottom w:val="single" w:sz="4" w:space="0" w:color="auto"/>
              <w:right w:val="single" w:sz="4" w:space="0" w:color="auto"/>
            </w:tcBorders>
            <w:shd w:val="clear" w:color="000000" w:fill="FFFFFF"/>
            <w:hideMark/>
          </w:tcPr>
          <w:p w:rsidR="00EA2419" w:rsidRPr="00EA2419" w:rsidRDefault="00EA2419" w:rsidP="00EA2419">
            <w:pPr>
              <w:spacing w:after="0" w:line="240" w:lineRule="auto"/>
              <w:rPr>
                <w:rFonts w:eastAsia="Times New Roman" w:cs="Calibri"/>
                <w:bCs/>
                <w:sz w:val="20"/>
                <w:szCs w:val="20"/>
              </w:rPr>
            </w:pPr>
            <w:r w:rsidRPr="00EA2419">
              <w:rPr>
                <w:rFonts w:eastAsia="Times New Roman" w:cs="Calibri"/>
                <w:bCs/>
                <w:sz w:val="20"/>
                <w:szCs w:val="20"/>
              </w:rPr>
              <w:t>Supplemental</w:t>
            </w:r>
          </w:p>
        </w:tc>
        <w:tc>
          <w:tcPr>
            <w:tcW w:w="1530" w:type="dxa"/>
            <w:tcBorders>
              <w:top w:val="single" w:sz="4" w:space="0" w:color="auto"/>
              <w:left w:val="nil"/>
              <w:bottom w:val="single" w:sz="4" w:space="0" w:color="auto"/>
              <w:right w:val="single" w:sz="4" w:space="0" w:color="auto"/>
            </w:tcBorders>
            <w:shd w:val="clear" w:color="000000" w:fill="FFFFFF"/>
          </w:tcPr>
          <w:p w:rsidR="00EA2419" w:rsidRPr="00EA2419" w:rsidRDefault="00EA2419" w:rsidP="00EA2419">
            <w:pPr>
              <w:spacing w:after="0" w:line="240" w:lineRule="auto"/>
              <w:rPr>
                <w:rFonts w:eastAsia="Times New Roman" w:cs="Calibri"/>
                <w:bCs/>
                <w:sz w:val="20"/>
                <w:szCs w:val="20"/>
              </w:rPr>
            </w:pPr>
            <w:r w:rsidRPr="00EA2419">
              <w:rPr>
                <w:rFonts w:eastAsia="Times New Roman" w:cs="Calibri"/>
                <w:bCs/>
                <w:sz w:val="20"/>
                <w:szCs w:val="20"/>
              </w:rPr>
              <w:t>Supplemental</w:t>
            </w:r>
          </w:p>
        </w:tc>
        <w:tc>
          <w:tcPr>
            <w:tcW w:w="1530" w:type="dxa"/>
            <w:tcBorders>
              <w:top w:val="single" w:sz="4" w:space="0" w:color="auto"/>
              <w:left w:val="single" w:sz="4" w:space="0" w:color="auto"/>
              <w:bottom w:val="single" w:sz="4" w:space="0" w:color="auto"/>
              <w:right w:val="single" w:sz="4" w:space="0" w:color="auto"/>
            </w:tcBorders>
            <w:shd w:val="clear" w:color="000000" w:fill="FFFFFF"/>
            <w:hideMark/>
          </w:tcPr>
          <w:p w:rsidR="00EA2419" w:rsidRPr="00EA2419" w:rsidRDefault="00EA2419" w:rsidP="00EA2419">
            <w:pPr>
              <w:spacing w:after="0" w:line="240" w:lineRule="auto"/>
              <w:rPr>
                <w:rFonts w:eastAsia="Times New Roman" w:cs="Calibri"/>
                <w:bCs/>
                <w:sz w:val="20"/>
                <w:szCs w:val="20"/>
              </w:rPr>
            </w:pPr>
            <w:r w:rsidRPr="00EA2419">
              <w:rPr>
                <w:rFonts w:eastAsia="Times New Roman" w:cs="Calibri"/>
                <w:bCs/>
                <w:sz w:val="20"/>
                <w:szCs w:val="20"/>
              </w:rPr>
              <w:t>Supplemental</w:t>
            </w:r>
          </w:p>
        </w:tc>
      </w:tr>
      <w:tr w:rsidR="00EA2419" w:rsidRPr="00EA2419" w:rsidTr="006C4F95">
        <w:trPr>
          <w:cantSplit/>
          <w:trHeight w:val="600"/>
        </w:trPr>
        <w:tc>
          <w:tcPr>
            <w:tcW w:w="1890" w:type="dxa"/>
            <w:tcBorders>
              <w:top w:val="single" w:sz="4" w:space="0" w:color="auto"/>
              <w:left w:val="single" w:sz="4" w:space="0" w:color="auto"/>
              <w:bottom w:val="single" w:sz="4" w:space="0" w:color="auto"/>
              <w:right w:val="single" w:sz="4" w:space="0" w:color="auto"/>
            </w:tcBorders>
            <w:shd w:val="clear" w:color="000000" w:fill="FFFFFF"/>
            <w:hideMark/>
          </w:tcPr>
          <w:p w:rsidR="00EA2419" w:rsidRPr="00EA2419" w:rsidRDefault="00EA2419" w:rsidP="00EA2419">
            <w:pPr>
              <w:spacing w:after="0" w:line="240" w:lineRule="auto"/>
              <w:rPr>
                <w:rFonts w:eastAsia="Times New Roman" w:cs="Calibri"/>
                <w:bCs/>
                <w:sz w:val="20"/>
                <w:szCs w:val="20"/>
              </w:rPr>
            </w:pPr>
            <w:r w:rsidRPr="00EA2419">
              <w:rPr>
                <w:rFonts w:eastAsia="Times New Roman" w:cs="Calibri"/>
                <w:bCs/>
                <w:sz w:val="20"/>
                <w:szCs w:val="20"/>
              </w:rPr>
              <w:t>Test of Memory and Learning-Revised (TOMAL-2)</w:t>
            </w:r>
          </w:p>
        </w:tc>
        <w:tc>
          <w:tcPr>
            <w:tcW w:w="1170" w:type="dxa"/>
            <w:tcBorders>
              <w:top w:val="single" w:sz="4" w:space="0" w:color="auto"/>
              <w:left w:val="nil"/>
              <w:bottom w:val="single" w:sz="4" w:space="0" w:color="auto"/>
              <w:right w:val="single" w:sz="4" w:space="0" w:color="auto"/>
            </w:tcBorders>
            <w:shd w:val="clear" w:color="000000" w:fill="FFFFFF"/>
            <w:hideMark/>
          </w:tcPr>
          <w:p w:rsidR="00EA2419" w:rsidRPr="00EA2419" w:rsidRDefault="00EA2419" w:rsidP="00EA2419">
            <w:pPr>
              <w:spacing w:after="0" w:line="240" w:lineRule="auto"/>
              <w:rPr>
                <w:rFonts w:eastAsia="Times New Roman" w:cs="Calibri"/>
                <w:bCs/>
                <w:sz w:val="20"/>
                <w:szCs w:val="20"/>
              </w:rPr>
            </w:pPr>
            <w:r w:rsidRPr="00EA2419">
              <w:rPr>
                <w:rFonts w:eastAsia="Times New Roman" w:cs="Calibri"/>
                <w:bCs/>
                <w:sz w:val="20"/>
                <w:szCs w:val="20"/>
              </w:rPr>
              <w:t>Pediatric TBI</w:t>
            </w:r>
          </w:p>
        </w:tc>
        <w:tc>
          <w:tcPr>
            <w:tcW w:w="1530" w:type="dxa"/>
            <w:tcBorders>
              <w:top w:val="single" w:sz="4" w:space="0" w:color="auto"/>
              <w:left w:val="nil"/>
              <w:bottom w:val="single" w:sz="4" w:space="0" w:color="auto"/>
              <w:right w:val="single" w:sz="4" w:space="0" w:color="auto"/>
            </w:tcBorders>
            <w:shd w:val="clear" w:color="000000" w:fill="FFFFFF"/>
            <w:hideMark/>
          </w:tcPr>
          <w:p w:rsidR="00EA2419" w:rsidRPr="00EA2419" w:rsidRDefault="00EA2419" w:rsidP="00EA2419">
            <w:pPr>
              <w:spacing w:after="0" w:line="240" w:lineRule="auto"/>
              <w:rPr>
                <w:rFonts w:eastAsia="Times New Roman" w:cs="Calibri"/>
                <w:bCs/>
                <w:sz w:val="20"/>
                <w:szCs w:val="20"/>
              </w:rPr>
            </w:pPr>
            <w:r w:rsidRPr="00EA2419">
              <w:rPr>
                <w:rFonts w:eastAsia="Times New Roman" w:cs="Calibri"/>
                <w:bCs/>
                <w:sz w:val="20"/>
                <w:szCs w:val="20"/>
              </w:rPr>
              <w:t>Supplemental</w:t>
            </w:r>
          </w:p>
        </w:tc>
        <w:tc>
          <w:tcPr>
            <w:tcW w:w="1530" w:type="dxa"/>
            <w:tcBorders>
              <w:top w:val="single" w:sz="4" w:space="0" w:color="auto"/>
              <w:left w:val="nil"/>
              <w:bottom w:val="single" w:sz="4" w:space="0" w:color="auto"/>
              <w:right w:val="single" w:sz="4" w:space="0" w:color="auto"/>
            </w:tcBorders>
            <w:shd w:val="clear" w:color="000000" w:fill="FFFFFF"/>
            <w:hideMark/>
          </w:tcPr>
          <w:p w:rsidR="00EA2419" w:rsidRPr="00EA2419" w:rsidRDefault="00EA2419" w:rsidP="00EA2419">
            <w:pPr>
              <w:spacing w:after="0" w:line="240" w:lineRule="auto"/>
              <w:rPr>
                <w:rFonts w:eastAsia="Times New Roman" w:cs="Calibri"/>
                <w:bCs/>
                <w:sz w:val="20"/>
                <w:szCs w:val="20"/>
              </w:rPr>
            </w:pPr>
            <w:r w:rsidRPr="00EA2419">
              <w:rPr>
                <w:rFonts w:eastAsia="Times New Roman" w:cs="Calibri"/>
                <w:bCs/>
                <w:sz w:val="20"/>
                <w:szCs w:val="20"/>
              </w:rPr>
              <w:t>Supplemental</w:t>
            </w:r>
          </w:p>
        </w:tc>
        <w:tc>
          <w:tcPr>
            <w:tcW w:w="1530" w:type="dxa"/>
            <w:tcBorders>
              <w:top w:val="single" w:sz="4" w:space="0" w:color="auto"/>
              <w:left w:val="nil"/>
              <w:bottom w:val="single" w:sz="4" w:space="0" w:color="auto"/>
              <w:right w:val="single" w:sz="4" w:space="0" w:color="auto"/>
            </w:tcBorders>
            <w:shd w:val="clear" w:color="000000" w:fill="FFFFFF"/>
          </w:tcPr>
          <w:p w:rsidR="00EA2419" w:rsidRPr="00EA2419" w:rsidRDefault="00EA2419" w:rsidP="00EA2419">
            <w:pPr>
              <w:spacing w:after="0" w:line="240" w:lineRule="auto"/>
              <w:rPr>
                <w:rFonts w:eastAsia="Times New Roman" w:cs="Calibri"/>
                <w:bCs/>
                <w:sz w:val="20"/>
                <w:szCs w:val="20"/>
              </w:rPr>
            </w:pPr>
            <w:r w:rsidRPr="00EA2419">
              <w:rPr>
                <w:rFonts w:eastAsia="Times New Roman" w:cs="Calibri"/>
                <w:bCs/>
                <w:sz w:val="20"/>
                <w:szCs w:val="20"/>
              </w:rPr>
              <w:t>Supplemental</w:t>
            </w:r>
          </w:p>
        </w:tc>
        <w:tc>
          <w:tcPr>
            <w:tcW w:w="1530" w:type="dxa"/>
            <w:tcBorders>
              <w:top w:val="single" w:sz="4" w:space="0" w:color="auto"/>
              <w:left w:val="single" w:sz="4" w:space="0" w:color="auto"/>
              <w:bottom w:val="single" w:sz="4" w:space="0" w:color="auto"/>
              <w:right w:val="single" w:sz="4" w:space="0" w:color="auto"/>
            </w:tcBorders>
            <w:shd w:val="clear" w:color="000000" w:fill="FFFFFF"/>
            <w:hideMark/>
          </w:tcPr>
          <w:p w:rsidR="00EA2419" w:rsidRPr="00EA2419" w:rsidRDefault="00EA2419" w:rsidP="00EA2419">
            <w:pPr>
              <w:spacing w:after="0" w:line="240" w:lineRule="auto"/>
              <w:rPr>
                <w:rFonts w:eastAsia="Times New Roman" w:cs="Calibri"/>
                <w:bCs/>
                <w:sz w:val="20"/>
                <w:szCs w:val="20"/>
              </w:rPr>
            </w:pPr>
            <w:r w:rsidRPr="00EA2419">
              <w:rPr>
                <w:rFonts w:eastAsia="Times New Roman" w:cs="Calibri"/>
                <w:bCs/>
                <w:sz w:val="20"/>
                <w:szCs w:val="20"/>
              </w:rPr>
              <w:t>Supplemental</w:t>
            </w:r>
          </w:p>
        </w:tc>
      </w:tr>
      <w:tr w:rsidR="00EA2419" w:rsidRPr="00EA2419" w:rsidTr="006C4F95">
        <w:trPr>
          <w:cantSplit/>
          <w:trHeight w:val="600"/>
        </w:trPr>
        <w:tc>
          <w:tcPr>
            <w:tcW w:w="1890" w:type="dxa"/>
            <w:tcBorders>
              <w:top w:val="single" w:sz="4" w:space="0" w:color="auto"/>
              <w:left w:val="single" w:sz="4" w:space="0" w:color="auto"/>
              <w:bottom w:val="single" w:sz="4" w:space="0" w:color="auto"/>
              <w:right w:val="single" w:sz="4" w:space="0" w:color="auto"/>
            </w:tcBorders>
            <w:shd w:val="clear" w:color="000000" w:fill="FFFFFF"/>
            <w:hideMark/>
          </w:tcPr>
          <w:p w:rsidR="00EA2419" w:rsidRPr="00EA2419" w:rsidRDefault="00EA2419" w:rsidP="00EA2419">
            <w:pPr>
              <w:spacing w:after="0" w:line="240" w:lineRule="auto"/>
              <w:rPr>
                <w:rFonts w:eastAsia="Times New Roman" w:cs="Calibri"/>
                <w:bCs/>
                <w:sz w:val="20"/>
                <w:szCs w:val="20"/>
              </w:rPr>
            </w:pPr>
            <w:r w:rsidRPr="00EA2419">
              <w:rPr>
                <w:rFonts w:eastAsia="Times New Roman" w:cs="Calibri"/>
                <w:bCs/>
                <w:sz w:val="20"/>
                <w:szCs w:val="20"/>
              </w:rPr>
              <w:t>Test of Strategic Learning (TOSL)</w:t>
            </w:r>
          </w:p>
        </w:tc>
        <w:tc>
          <w:tcPr>
            <w:tcW w:w="1170" w:type="dxa"/>
            <w:tcBorders>
              <w:top w:val="single" w:sz="4" w:space="0" w:color="auto"/>
              <w:left w:val="nil"/>
              <w:bottom w:val="single" w:sz="4" w:space="0" w:color="auto"/>
              <w:right w:val="single" w:sz="4" w:space="0" w:color="auto"/>
            </w:tcBorders>
            <w:shd w:val="clear" w:color="000000" w:fill="FFFFFF"/>
            <w:hideMark/>
          </w:tcPr>
          <w:p w:rsidR="00EA2419" w:rsidRPr="00EA2419" w:rsidRDefault="00EA2419" w:rsidP="00EA2419">
            <w:pPr>
              <w:spacing w:after="0" w:line="240" w:lineRule="auto"/>
              <w:rPr>
                <w:rFonts w:eastAsia="Times New Roman" w:cs="Calibri"/>
                <w:bCs/>
                <w:sz w:val="20"/>
                <w:szCs w:val="20"/>
              </w:rPr>
            </w:pPr>
            <w:r w:rsidRPr="00EA2419">
              <w:rPr>
                <w:rFonts w:eastAsia="Times New Roman" w:cs="Calibri"/>
                <w:bCs/>
                <w:sz w:val="20"/>
                <w:szCs w:val="20"/>
              </w:rPr>
              <w:t>Pediatric TBI</w:t>
            </w:r>
          </w:p>
        </w:tc>
        <w:tc>
          <w:tcPr>
            <w:tcW w:w="1530" w:type="dxa"/>
            <w:tcBorders>
              <w:top w:val="single" w:sz="4" w:space="0" w:color="auto"/>
              <w:left w:val="nil"/>
              <w:bottom w:val="single" w:sz="4" w:space="0" w:color="auto"/>
              <w:right w:val="single" w:sz="4" w:space="0" w:color="auto"/>
            </w:tcBorders>
            <w:shd w:val="clear" w:color="000000" w:fill="FFFFFF"/>
            <w:hideMark/>
          </w:tcPr>
          <w:p w:rsidR="00EA2419" w:rsidRPr="00EA2419" w:rsidRDefault="00EA2419" w:rsidP="00EA2419">
            <w:pPr>
              <w:spacing w:after="0" w:line="240" w:lineRule="auto"/>
              <w:rPr>
                <w:rFonts w:eastAsia="Times New Roman" w:cs="Calibri"/>
                <w:bCs/>
                <w:sz w:val="20"/>
                <w:szCs w:val="20"/>
              </w:rPr>
            </w:pPr>
            <w:r w:rsidRPr="00EA2419">
              <w:rPr>
                <w:rFonts w:eastAsia="Times New Roman" w:cs="Calibri"/>
                <w:bCs/>
                <w:sz w:val="20"/>
                <w:szCs w:val="20"/>
              </w:rPr>
              <w:t>Supplemental</w:t>
            </w:r>
          </w:p>
        </w:tc>
        <w:tc>
          <w:tcPr>
            <w:tcW w:w="1530" w:type="dxa"/>
            <w:tcBorders>
              <w:top w:val="single" w:sz="4" w:space="0" w:color="auto"/>
              <w:left w:val="nil"/>
              <w:bottom w:val="single" w:sz="4" w:space="0" w:color="auto"/>
              <w:right w:val="single" w:sz="4" w:space="0" w:color="auto"/>
            </w:tcBorders>
            <w:shd w:val="clear" w:color="000000" w:fill="FFFFFF"/>
            <w:hideMark/>
          </w:tcPr>
          <w:p w:rsidR="00EA2419" w:rsidRPr="00EA2419" w:rsidRDefault="00EA2419" w:rsidP="00EA2419">
            <w:pPr>
              <w:spacing w:after="0" w:line="240" w:lineRule="auto"/>
              <w:rPr>
                <w:rFonts w:eastAsia="Times New Roman" w:cs="Calibri"/>
                <w:bCs/>
                <w:sz w:val="20"/>
                <w:szCs w:val="20"/>
              </w:rPr>
            </w:pPr>
            <w:r w:rsidRPr="00EA2419">
              <w:rPr>
                <w:rFonts w:eastAsia="Times New Roman" w:cs="Calibri"/>
                <w:bCs/>
                <w:sz w:val="20"/>
                <w:szCs w:val="20"/>
              </w:rPr>
              <w:t>Supplemental</w:t>
            </w:r>
          </w:p>
        </w:tc>
        <w:tc>
          <w:tcPr>
            <w:tcW w:w="1530" w:type="dxa"/>
            <w:tcBorders>
              <w:top w:val="single" w:sz="4" w:space="0" w:color="auto"/>
              <w:left w:val="nil"/>
              <w:bottom w:val="single" w:sz="4" w:space="0" w:color="auto"/>
              <w:right w:val="single" w:sz="4" w:space="0" w:color="auto"/>
            </w:tcBorders>
            <w:shd w:val="clear" w:color="000000" w:fill="FFFFFF"/>
          </w:tcPr>
          <w:p w:rsidR="00EA2419" w:rsidRPr="00EA2419" w:rsidRDefault="00EA2419" w:rsidP="00EA2419">
            <w:pPr>
              <w:spacing w:after="0" w:line="240" w:lineRule="auto"/>
              <w:rPr>
                <w:rFonts w:eastAsia="Times New Roman" w:cs="Calibri"/>
                <w:bCs/>
                <w:sz w:val="20"/>
                <w:szCs w:val="20"/>
              </w:rPr>
            </w:pPr>
            <w:r w:rsidRPr="00EA2419">
              <w:rPr>
                <w:rFonts w:eastAsia="Times New Roman" w:cs="Calibri"/>
                <w:bCs/>
                <w:sz w:val="20"/>
                <w:szCs w:val="20"/>
              </w:rPr>
              <w:t>Supplemental</w:t>
            </w:r>
          </w:p>
        </w:tc>
        <w:tc>
          <w:tcPr>
            <w:tcW w:w="1530" w:type="dxa"/>
            <w:tcBorders>
              <w:top w:val="single" w:sz="4" w:space="0" w:color="auto"/>
              <w:left w:val="single" w:sz="4" w:space="0" w:color="auto"/>
              <w:bottom w:val="single" w:sz="4" w:space="0" w:color="auto"/>
              <w:right w:val="single" w:sz="4" w:space="0" w:color="auto"/>
            </w:tcBorders>
            <w:shd w:val="clear" w:color="000000" w:fill="FFFFFF"/>
            <w:hideMark/>
          </w:tcPr>
          <w:p w:rsidR="00EA2419" w:rsidRPr="00EA2419" w:rsidRDefault="00EA2419" w:rsidP="00EA2419">
            <w:pPr>
              <w:spacing w:after="0" w:line="240" w:lineRule="auto"/>
              <w:rPr>
                <w:rFonts w:eastAsia="Times New Roman" w:cs="Calibri"/>
                <w:bCs/>
                <w:sz w:val="20"/>
                <w:szCs w:val="20"/>
              </w:rPr>
            </w:pPr>
            <w:r w:rsidRPr="00EA2419">
              <w:rPr>
                <w:rFonts w:eastAsia="Times New Roman" w:cs="Calibri"/>
                <w:bCs/>
                <w:sz w:val="20"/>
                <w:szCs w:val="20"/>
              </w:rPr>
              <w:t>Supplemental</w:t>
            </w:r>
          </w:p>
        </w:tc>
      </w:tr>
      <w:bookmarkEnd w:id="0"/>
      <w:tr w:rsidR="00EA2419" w:rsidRPr="00EA2419" w:rsidTr="006C4F95">
        <w:trPr>
          <w:cantSplit/>
          <w:trHeight w:val="600"/>
        </w:trPr>
        <w:tc>
          <w:tcPr>
            <w:tcW w:w="1890" w:type="dxa"/>
            <w:tcBorders>
              <w:top w:val="single" w:sz="4" w:space="0" w:color="auto"/>
              <w:left w:val="single" w:sz="4" w:space="0" w:color="auto"/>
              <w:bottom w:val="single" w:sz="4" w:space="0" w:color="auto"/>
              <w:right w:val="single" w:sz="4" w:space="0" w:color="auto"/>
            </w:tcBorders>
            <w:shd w:val="clear" w:color="000000" w:fill="FFFFFF"/>
            <w:hideMark/>
          </w:tcPr>
          <w:p w:rsidR="00EA2419" w:rsidRPr="00EA2419" w:rsidRDefault="00EA2419" w:rsidP="00EA2419">
            <w:pPr>
              <w:spacing w:after="0" w:line="240" w:lineRule="auto"/>
              <w:rPr>
                <w:rFonts w:eastAsia="Times New Roman" w:cs="Calibri"/>
                <w:bCs/>
                <w:sz w:val="20"/>
                <w:szCs w:val="20"/>
              </w:rPr>
            </w:pPr>
            <w:r w:rsidRPr="00EA2419">
              <w:rPr>
                <w:rFonts w:eastAsia="Times New Roman" w:cs="Calibri"/>
                <w:bCs/>
                <w:sz w:val="20"/>
                <w:szCs w:val="20"/>
              </w:rPr>
              <w:t>Trail Making Test (TMT)</w:t>
            </w:r>
          </w:p>
        </w:tc>
        <w:tc>
          <w:tcPr>
            <w:tcW w:w="1170" w:type="dxa"/>
            <w:tcBorders>
              <w:top w:val="single" w:sz="4" w:space="0" w:color="auto"/>
              <w:left w:val="nil"/>
              <w:bottom w:val="single" w:sz="4" w:space="0" w:color="auto"/>
              <w:right w:val="single" w:sz="4" w:space="0" w:color="auto"/>
            </w:tcBorders>
            <w:shd w:val="clear" w:color="000000" w:fill="FFFFFF"/>
            <w:hideMark/>
          </w:tcPr>
          <w:p w:rsidR="00EA2419" w:rsidRPr="00EA2419" w:rsidRDefault="00EA2419" w:rsidP="00EA2419">
            <w:pPr>
              <w:spacing w:after="0" w:line="240" w:lineRule="auto"/>
              <w:rPr>
                <w:rFonts w:eastAsia="Times New Roman" w:cs="Calibri"/>
                <w:bCs/>
                <w:sz w:val="20"/>
                <w:szCs w:val="20"/>
              </w:rPr>
            </w:pPr>
            <w:r w:rsidRPr="00EA2419">
              <w:rPr>
                <w:rFonts w:eastAsia="Times New Roman" w:cs="Calibri"/>
                <w:bCs/>
                <w:sz w:val="20"/>
                <w:szCs w:val="20"/>
              </w:rPr>
              <w:t>Adult TBI</w:t>
            </w:r>
          </w:p>
        </w:tc>
        <w:tc>
          <w:tcPr>
            <w:tcW w:w="1530" w:type="dxa"/>
            <w:tcBorders>
              <w:top w:val="single" w:sz="4" w:space="0" w:color="auto"/>
              <w:left w:val="nil"/>
              <w:bottom w:val="single" w:sz="4" w:space="0" w:color="auto"/>
              <w:right w:val="single" w:sz="4" w:space="0" w:color="auto"/>
            </w:tcBorders>
            <w:shd w:val="clear" w:color="000000" w:fill="FFFFFF"/>
            <w:hideMark/>
          </w:tcPr>
          <w:p w:rsidR="00EA2419" w:rsidRPr="00EA2419" w:rsidRDefault="00EA2419" w:rsidP="00EA2419">
            <w:pPr>
              <w:spacing w:after="0" w:line="240" w:lineRule="auto"/>
              <w:rPr>
                <w:rFonts w:eastAsia="Times New Roman" w:cs="Calibri"/>
                <w:bCs/>
                <w:sz w:val="20"/>
                <w:szCs w:val="20"/>
              </w:rPr>
            </w:pPr>
            <w:r w:rsidRPr="00EA2419">
              <w:rPr>
                <w:rFonts w:eastAsia="Times New Roman" w:cs="Calibri"/>
                <w:bCs/>
                <w:sz w:val="20"/>
                <w:szCs w:val="20"/>
              </w:rPr>
              <w:t>Basic</w:t>
            </w:r>
          </w:p>
        </w:tc>
        <w:tc>
          <w:tcPr>
            <w:tcW w:w="1530" w:type="dxa"/>
            <w:tcBorders>
              <w:top w:val="single" w:sz="4" w:space="0" w:color="auto"/>
              <w:left w:val="nil"/>
              <w:bottom w:val="single" w:sz="4" w:space="0" w:color="auto"/>
              <w:right w:val="single" w:sz="4" w:space="0" w:color="auto"/>
            </w:tcBorders>
            <w:shd w:val="clear" w:color="000000" w:fill="FFFFFF"/>
            <w:hideMark/>
          </w:tcPr>
          <w:p w:rsidR="00EA2419" w:rsidRPr="00EA2419" w:rsidRDefault="00EA2419" w:rsidP="00EA2419">
            <w:pPr>
              <w:spacing w:after="0" w:line="240" w:lineRule="auto"/>
              <w:rPr>
                <w:rFonts w:eastAsia="Times New Roman" w:cs="Calibri"/>
                <w:bCs/>
                <w:sz w:val="20"/>
                <w:szCs w:val="20"/>
              </w:rPr>
            </w:pPr>
            <w:r w:rsidRPr="00EA2419">
              <w:rPr>
                <w:rFonts w:eastAsia="Times New Roman" w:cs="Calibri"/>
                <w:bCs/>
                <w:sz w:val="20"/>
                <w:szCs w:val="20"/>
              </w:rPr>
              <w:t>Basic</w:t>
            </w:r>
          </w:p>
        </w:tc>
        <w:tc>
          <w:tcPr>
            <w:tcW w:w="1530" w:type="dxa"/>
            <w:tcBorders>
              <w:top w:val="single" w:sz="4" w:space="0" w:color="auto"/>
              <w:left w:val="nil"/>
              <w:bottom w:val="single" w:sz="4" w:space="0" w:color="auto"/>
              <w:right w:val="single" w:sz="4" w:space="0" w:color="auto"/>
            </w:tcBorders>
            <w:shd w:val="clear" w:color="000000" w:fill="FFFFFF"/>
          </w:tcPr>
          <w:p w:rsidR="00EA2419" w:rsidRPr="00EA2419" w:rsidRDefault="00EA2419" w:rsidP="0085772F">
            <w:pPr>
              <w:spacing w:after="0" w:line="240" w:lineRule="auto"/>
              <w:rPr>
                <w:rFonts w:eastAsia="Times New Roman" w:cs="Calibri"/>
                <w:bCs/>
                <w:sz w:val="20"/>
                <w:szCs w:val="20"/>
              </w:rPr>
            </w:pPr>
            <w:r w:rsidRPr="00EA2419">
              <w:rPr>
                <w:rFonts w:eastAsia="Times New Roman" w:cs="Calibri"/>
                <w:bCs/>
                <w:sz w:val="20"/>
                <w:szCs w:val="20"/>
              </w:rPr>
              <w:t>Basic</w:t>
            </w:r>
          </w:p>
        </w:tc>
        <w:tc>
          <w:tcPr>
            <w:tcW w:w="1530" w:type="dxa"/>
            <w:tcBorders>
              <w:top w:val="single" w:sz="4" w:space="0" w:color="auto"/>
              <w:left w:val="single" w:sz="4" w:space="0" w:color="auto"/>
              <w:bottom w:val="single" w:sz="4" w:space="0" w:color="auto"/>
              <w:right w:val="single" w:sz="4" w:space="0" w:color="auto"/>
            </w:tcBorders>
            <w:shd w:val="clear" w:color="000000" w:fill="FFFFFF"/>
            <w:hideMark/>
          </w:tcPr>
          <w:p w:rsidR="00EA2419" w:rsidRPr="00EA2419" w:rsidRDefault="00EA2419" w:rsidP="0085772F">
            <w:pPr>
              <w:spacing w:after="0" w:line="240" w:lineRule="auto"/>
              <w:rPr>
                <w:rFonts w:eastAsia="Times New Roman" w:cs="Calibri"/>
                <w:bCs/>
                <w:sz w:val="20"/>
                <w:szCs w:val="20"/>
              </w:rPr>
            </w:pPr>
            <w:r w:rsidRPr="00EA2419">
              <w:rPr>
                <w:rFonts w:eastAsia="Times New Roman" w:cs="Calibri"/>
                <w:bCs/>
                <w:sz w:val="20"/>
                <w:szCs w:val="20"/>
              </w:rPr>
              <w:t>Supplemental</w:t>
            </w:r>
          </w:p>
        </w:tc>
      </w:tr>
      <w:tr w:rsidR="00EA2419" w:rsidRPr="00EA2419" w:rsidTr="006C4F95">
        <w:trPr>
          <w:cantSplit/>
          <w:trHeight w:val="600"/>
        </w:trPr>
        <w:tc>
          <w:tcPr>
            <w:tcW w:w="1890" w:type="dxa"/>
            <w:tcBorders>
              <w:top w:val="single" w:sz="4" w:space="0" w:color="auto"/>
              <w:left w:val="single" w:sz="4" w:space="0" w:color="auto"/>
              <w:bottom w:val="single" w:sz="4" w:space="0" w:color="auto"/>
              <w:right w:val="single" w:sz="4" w:space="0" w:color="auto"/>
            </w:tcBorders>
            <w:shd w:val="clear" w:color="000000" w:fill="FFFFFF"/>
            <w:hideMark/>
          </w:tcPr>
          <w:p w:rsidR="00EA2419" w:rsidRPr="00EA2419" w:rsidRDefault="00EA2419" w:rsidP="00EA2419">
            <w:pPr>
              <w:spacing w:after="0" w:line="240" w:lineRule="auto"/>
              <w:rPr>
                <w:rFonts w:eastAsia="Times New Roman" w:cs="Calibri"/>
                <w:bCs/>
                <w:sz w:val="20"/>
                <w:szCs w:val="20"/>
              </w:rPr>
            </w:pPr>
            <w:r w:rsidRPr="00EA2419">
              <w:rPr>
                <w:rFonts w:eastAsia="Times New Roman" w:cs="Calibri"/>
                <w:bCs/>
                <w:sz w:val="20"/>
                <w:szCs w:val="20"/>
              </w:rPr>
              <w:t>Wechsler Abbreviated Scale of Intelligence (WASI II); 2 subtest version</w:t>
            </w:r>
          </w:p>
        </w:tc>
        <w:tc>
          <w:tcPr>
            <w:tcW w:w="1170" w:type="dxa"/>
            <w:tcBorders>
              <w:top w:val="single" w:sz="4" w:space="0" w:color="auto"/>
              <w:left w:val="nil"/>
              <w:bottom w:val="single" w:sz="4" w:space="0" w:color="auto"/>
              <w:right w:val="single" w:sz="4" w:space="0" w:color="auto"/>
            </w:tcBorders>
            <w:shd w:val="clear" w:color="000000" w:fill="FFFFFF"/>
            <w:hideMark/>
          </w:tcPr>
          <w:p w:rsidR="00EA2419" w:rsidRPr="00EA2419" w:rsidRDefault="00EA2419" w:rsidP="00EA2419">
            <w:pPr>
              <w:spacing w:after="0" w:line="240" w:lineRule="auto"/>
              <w:rPr>
                <w:rFonts w:eastAsia="Times New Roman" w:cs="Calibri"/>
                <w:bCs/>
                <w:sz w:val="20"/>
                <w:szCs w:val="20"/>
              </w:rPr>
            </w:pPr>
            <w:r w:rsidRPr="00EA2419">
              <w:rPr>
                <w:rFonts w:eastAsia="Times New Roman" w:cs="Calibri"/>
                <w:bCs/>
                <w:sz w:val="20"/>
                <w:szCs w:val="20"/>
              </w:rPr>
              <w:t>Pediatric TBI</w:t>
            </w:r>
          </w:p>
        </w:tc>
        <w:tc>
          <w:tcPr>
            <w:tcW w:w="1530" w:type="dxa"/>
            <w:tcBorders>
              <w:top w:val="single" w:sz="4" w:space="0" w:color="auto"/>
              <w:left w:val="nil"/>
              <w:bottom w:val="single" w:sz="4" w:space="0" w:color="auto"/>
              <w:right w:val="single" w:sz="4" w:space="0" w:color="auto"/>
            </w:tcBorders>
            <w:shd w:val="clear" w:color="000000" w:fill="FFFFFF"/>
            <w:hideMark/>
          </w:tcPr>
          <w:p w:rsidR="00EA2419" w:rsidRPr="00EA2419" w:rsidRDefault="00EA2419" w:rsidP="00EA2419">
            <w:pPr>
              <w:spacing w:after="0" w:line="240" w:lineRule="auto"/>
              <w:rPr>
                <w:rFonts w:eastAsia="Times New Roman" w:cs="Calibri"/>
                <w:bCs/>
                <w:sz w:val="20"/>
                <w:szCs w:val="20"/>
              </w:rPr>
            </w:pPr>
            <w:r w:rsidRPr="00EA2419">
              <w:rPr>
                <w:rFonts w:eastAsia="Times New Roman" w:cs="Calibri"/>
                <w:bCs/>
                <w:sz w:val="20"/>
                <w:szCs w:val="20"/>
              </w:rPr>
              <w:t>Basic</w:t>
            </w:r>
          </w:p>
        </w:tc>
        <w:tc>
          <w:tcPr>
            <w:tcW w:w="1530" w:type="dxa"/>
            <w:tcBorders>
              <w:top w:val="single" w:sz="4" w:space="0" w:color="auto"/>
              <w:left w:val="nil"/>
              <w:bottom w:val="single" w:sz="4" w:space="0" w:color="auto"/>
              <w:right w:val="single" w:sz="4" w:space="0" w:color="auto"/>
            </w:tcBorders>
            <w:shd w:val="clear" w:color="000000" w:fill="FFFFFF"/>
            <w:hideMark/>
          </w:tcPr>
          <w:p w:rsidR="00EA2419" w:rsidRPr="00EA2419" w:rsidRDefault="00EA2419" w:rsidP="00EA2419">
            <w:pPr>
              <w:spacing w:after="0" w:line="240" w:lineRule="auto"/>
              <w:rPr>
                <w:rFonts w:eastAsia="Times New Roman" w:cs="Calibri"/>
                <w:bCs/>
                <w:sz w:val="20"/>
                <w:szCs w:val="20"/>
              </w:rPr>
            </w:pPr>
            <w:r w:rsidRPr="00EA2419">
              <w:rPr>
                <w:rFonts w:eastAsia="Times New Roman" w:cs="Calibri"/>
                <w:bCs/>
                <w:sz w:val="20"/>
                <w:szCs w:val="20"/>
              </w:rPr>
              <w:t>Basic</w:t>
            </w:r>
          </w:p>
        </w:tc>
        <w:tc>
          <w:tcPr>
            <w:tcW w:w="1530" w:type="dxa"/>
            <w:tcBorders>
              <w:top w:val="single" w:sz="4" w:space="0" w:color="auto"/>
              <w:left w:val="nil"/>
              <w:bottom w:val="single" w:sz="4" w:space="0" w:color="auto"/>
              <w:right w:val="single" w:sz="4" w:space="0" w:color="auto"/>
            </w:tcBorders>
            <w:shd w:val="clear" w:color="000000" w:fill="FFFFFF"/>
          </w:tcPr>
          <w:p w:rsidR="00EA2419" w:rsidRPr="00EA2419" w:rsidRDefault="00EA2419" w:rsidP="0085772F">
            <w:pPr>
              <w:spacing w:after="0" w:line="240" w:lineRule="auto"/>
              <w:rPr>
                <w:rFonts w:eastAsia="Times New Roman" w:cs="Calibri"/>
                <w:bCs/>
                <w:sz w:val="20"/>
                <w:szCs w:val="20"/>
              </w:rPr>
            </w:pPr>
            <w:r w:rsidRPr="00EA2419">
              <w:rPr>
                <w:rFonts w:eastAsia="Times New Roman" w:cs="Calibri"/>
                <w:bCs/>
                <w:sz w:val="20"/>
                <w:szCs w:val="20"/>
              </w:rPr>
              <w:t>Basic</w:t>
            </w:r>
          </w:p>
        </w:tc>
        <w:tc>
          <w:tcPr>
            <w:tcW w:w="1530" w:type="dxa"/>
            <w:tcBorders>
              <w:top w:val="single" w:sz="4" w:space="0" w:color="auto"/>
              <w:left w:val="single" w:sz="4" w:space="0" w:color="auto"/>
              <w:bottom w:val="single" w:sz="4" w:space="0" w:color="auto"/>
              <w:right w:val="single" w:sz="4" w:space="0" w:color="auto"/>
            </w:tcBorders>
            <w:shd w:val="clear" w:color="000000" w:fill="FFFFFF"/>
            <w:hideMark/>
          </w:tcPr>
          <w:p w:rsidR="00EA2419" w:rsidRPr="00EA2419" w:rsidRDefault="00EA2419" w:rsidP="0085772F">
            <w:pPr>
              <w:spacing w:after="0" w:line="240" w:lineRule="auto"/>
              <w:rPr>
                <w:rFonts w:eastAsia="Times New Roman" w:cs="Calibri"/>
                <w:bCs/>
                <w:sz w:val="20"/>
                <w:szCs w:val="20"/>
              </w:rPr>
            </w:pPr>
            <w:r w:rsidRPr="00EA2419">
              <w:rPr>
                <w:rFonts w:eastAsia="Times New Roman" w:cs="Calibri"/>
                <w:bCs/>
                <w:sz w:val="20"/>
                <w:szCs w:val="20"/>
              </w:rPr>
              <w:t>Supplemental</w:t>
            </w:r>
          </w:p>
        </w:tc>
      </w:tr>
      <w:tr w:rsidR="00EA2419" w:rsidRPr="00EA2419" w:rsidTr="006C4F95">
        <w:trPr>
          <w:cantSplit/>
          <w:trHeight w:val="600"/>
        </w:trPr>
        <w:tc>
          <w:tcPr>
            <w:tcW w:w="1890" w:type="dxa"/>
            <w:tcBorders>
              <w:top w:val="single" w:sz="4" w:space="0" w:color="auto"/>
              <w:left w:val="single" w:sz="4" w:space="0" w:color="auto"/>
              <w:bottom w:val="single" w:sz="4" w:space="0" w:color="auto"/>
              <w:right w:val="single" w:sz="4" w:space="0" w:color="auto"/>
            </w:tcBorders>
            <w:shd w:val="clear" w:color="000000" w:fill="FFFFFF"/>
            <w:hideMark/>
          </w:tcPr>
          <w:p w:rsidR="00EA2419" w:rsidRPr="00EA2419" w:rsidRDefault="00EA2419" w:rsidP="00EA2419">
            <w:pPr>
              <w:spacing w:after="0" w:line="240" w:lineRule="auto"/>
              <w:rPr>
                <w:rFonts w:eastAsia="Times New Roman" w:cs="Calibri"/>
                <w:bCs/>
                <w:sz w:val="20"/>
                <w:szCs w:val="20"/>
              </w:rPr>
            </w:pPr>
            <w:r w:rsidRPr="00EA2419">
              <w:rPr>
                <w:rFonts w:eastAsia="Times New Roman" w:cs="Calibri"/>
                <w:bCs/>
                <w:sz w:val="20"/>
                <w:szCs w:val="20"/>
              </w:rPr>
              <w:lastRenderedPageBreak/>
              <w:t>Wechsler Adult Intelligence Scale (WAIS-IV), Digit Span subtest</w:t>
            </w:r>
          </w:p>
        </w:tc>
        <w:tc>
          <w:tcPr>
            <w:tcW w:w="1170" w:type="dxa"/>
            <w:tcBorders>
              <w:top w:val="single" w:sz="4" w:space="0" w:color="auto"/>
              <w:left w:val="nil"/>
              <w:bottom w:val="single" w:sz="4" w:space="0" w:color="auto"/>
              <w:right w:val="single" w:sz="4" w:space="0" w:color="auto"/>
            </w:tcBorders>
            <w:shd w:val="clear" w:color="000000" w:fill="FFFFFF"/>
            <w:hideMark/>
          </w:tcPr>
          <w:p w:rsidR="00EA2419" w:rsidRPr="00EA2419" w:rsidRDefault="00EA2419" w:rsidP="00EA2419">
            <w:pPr>
              <w:spacing w:after="0" w:line="240" w:lineRule="auto"/>
              <w:rPr>
                <w:rFonts w:eastAsia="Times New Roman" w:cs="Calibri"/>
                <w:bCs/>
                <w:sz w:val="20"/>
                <w:szCs w:val="20"/>
              </w:rPr>
            </w:pPr>
            <w:r w:rsidRPr="00EA2419">
              <w:rPr>
                <w:rFonts w:eastAsia="Times New Roman" w:cs="Calibri"/>
                <w:bCs/>
                <w:sz w:val="20"/>
                <w:szCs w:val="20"/>
              </w:rPr>
              <w:t>Adult TBI</w:t>
            </w:r>
          </w:p>
        </w:tc>
        <w:tc>
          <w:tcPr>
            <w:tcW w:w="1530" w:type="dxa"/>
            <w:tcBorders>
              <w:top w:val="single" w:sz="4" w:space="0" w:color="auto"/>
              <w:left w:val="nil"/>
              <w:bottom w:val="single" w:sz="4" w:space="0" w:color="auto"/>
              <w:right w:val="single" w:sz="4" w:space="0" w:color="auto"/>
            </w:tcBorders>
            <w:shd w:val="clear" w:color="000000" w:fill="FFFFFF"/>
            <w:hideMark/>
          </w:tcPr>
          <w:p w:rsidR="00EA2419" w:rsidRPr="00EA2419" w:rsidRDefault="00EA2419" w:rsidP="00EA2419">
            <w:pPr>
              <w:spacing w:after="0" w:line="240" w:lineRule="auto"/>
              <w:rPr>
                <w:rFonts w:eastAsia="Times New Roman" w:cs="Calibri"/>
                <w:bCs/>
                <w:sz w:val="20"/>
                <w:szCs w:val="20"/>
              </w:rPr>
            </w:pPr>
            <w:r w:rsidRPr="00EA2419">
              <w:rPr>
                <w:rFonts w:eastAsia="Times New Roman" w:cs="Calibri"/>
                <w:bCs/>
                <w:sz w:val="20"/>
                <w:szCs w:val="20"/>
              </w:rPr>
              <w:t>Supplemental</w:t>
            </w:r>
          </w:p>
        </w:tc>
        <w:tc>
          <w:tcPr>
            <w:tcW w:w="1530" w:type="dxa"/>
            <w:tcBorders>
              <w:top w:val="single" w:sz="4" w:space="0" w:color="auto"/>
              <w:left w:val="nil"/>
              <w:bottom w:val="single" w:sz="4" w:space="0" w:color="auto"/>
              <w:right w:val="single" w:sz="4" w:space="0" w:color="auto"/>
            </w:tcBorders>
            <w:shd w:val="clear" w:color="000000" w:fill="FFFFFF"/>
            <w:hideMark/>
          </w:tcPr>
          <w:p w:rsidR="00EA2419" w:rsidRPr="00EA2419" w:rsidRDefault="00EA2419" w:rsidP="00EA2419">
            <w:pPr>
              <w:spacing w:after="0" w:line="240" w:lineRule="auto"/>
              <w:rPr>
                <w:rFonts w:eastAsia="Times New Roman" w:cs="Calibri"/>
                <w:bCs/>
                <w:sz w:val="20"/>
                <w:szCs w:val="20"/>
              </w:rPr>
            </w:pPr>
            <w:r w:rsidRPr="00EA2419">
              <w:rPr>
                <w:rFonts w:eastAsia="Times New Roman" w:cs="Calibri"/>
                <w:bCs/>
                <w:sz w:val="20"/>
                <w:szCs w:val="20"/>
              </w:rPr>
              <w:t>Supplemental</w:t>
            </w:r>
          </w:p>
        </w:tc>
        <w:tc>
          <w:tcPr>
            <w:tcW w:w="1530" w:type="dxa"/>
            <w:tcBorders>
              <w:top w:val="single" w:sz="4" w:space="0" w:color="auto"/>
              <w:left w:val="nil"/>
              <w:bottom w:val="single" w:sz="4" w:space="0" w:color="auto"/>
              <w:right w:val="single" w:sz="4" w:space="0" w:color="auto"/>
            </w:tcBorders>
            <w:shd w:val="clear" w:color="000000" w:fill="FFFFFF"/>
          </w:tcPr>
          <w:p w:rsidR="00EA2419" w:rsidRPr="00EA2419" w:rsidRDefault="00EA2419" w:rsidP="00EA2419">
            <w:pPr>
              <w:spacing w:after="0" w:line="240" w:lineRule="auto"/>
              <w:rPr>
                <w:rFonts w:eastAsia="Times New Roman" w:cs="Calibri"/>
                <w:bCs/>
                <w:sz w:val="20"/>
                <w:szCs w:val="20"/>
              </w:rPr>
            </w:pPr>
            <w:r w:rsidRPr="00EA2419">
              <w:rPr>
                <w:rFonts w:eastAsia="Times New Roman" w:cs="Calibri"/>
                <w:bCs/>
                <w:sz w:val="20"/>
                <w:szCs w:val="20"/>
              </w:rPr>
              <w:t>Supplemental</w:t>
            </w:r>
          </w:p>
        </w:tc>
        <w:tc>
          <w:tcPr>
            <w:tcW w:w="1530" w:type="dxa"/>
            <w:tcBorders>
              <w:top w:val="single" w:sz="4" w:space="0" w:color="auto"/>
              <w:left w:val="single" w:sz="4" w:space="0" w:color="auto"/>
              <w:bottom w:val="single" w:sz="4" w:space="0" w:color="auto"/>
              <w:right w:val="single" w:sz="4" w:space="0" w:color="auto"/>
            </w:tcBorders>
            <w:shd w:val="clear" w:color="000000" w:fill="FFFFFF"/>
            <w:hideMark/>
          </w:tcPr>
          <w:p w:rsidR="00EA2419" w:rsidRPr="00EA2419" w:rsidRDefault="00EA2419" w:rsidP="00EA2419">
            <w:pPr>
              <w:spacing w:after="0" w:line="240" w:lineRule="auto"/>
              <w:rPr>
                <w:rFonts w:eastAsia="Times New Roman" w:cs="Calibri"/>
                <w:bCs/>
                <w:sz w:val="20"/>
                <w:szCs w:val="20"/>
              </w:rPr>
            </w:pPr>
            <w:r w:rsidRPr="00EA2419">
              <w:rPr>
                <w:rFonts w:eastAsia="Times New Roman" w:cs="Calibri"/>
                <w:bCs/>
                <w:sz w:val="20"/>
                <w:szCs w:val="20"/>
              </w:rPr>
              <w:t>Supplemental</w:t>
            </w:r>
          </w:p>
        </w:tc>
      </w:tr>
      <w:tr w:rsidR="00EA2419" w:rsidRPr="00EA2419" w:rsidTr="006C4F95">
        <w:trPr>
          <w:cantSplit/>
          <w:trHeight w:val="600"/>
        </w:trPr>
        <w:tc>
          <w:tcPr>
            <w:tcW w:w="1890" w:type="dxa"/>
            <w:tcBorders>
              <w:top w:val="single" w:sz="4" w:space="0" w:color="auto"/>
              <w:left w:val="single" w:sz="4" w:space="0" w:color="auto"/>
              <w:bottom w:val="single" w:sz="4" w:space="0" w:color="auto"/>
              <w:right w:val="single" w:sz="4" w:space="0" w:color="auto"/>
            </w:tcBorders>
            <w:shd w:val="clear" w:color="000000" w:fill="FFFFFF"/>
            <w:hideMark/>
          </w:tcPr>
          <w:p w:rsidR="00EA2419" w:rsidRPr="00EA2419" w:rsidRDefault="00EA2419" w:rsidP="00EA2419">
            <w:pPr>
              <w:spacing w:after="0" w:line="240" w:lineRule="auto"/>
              <w:rPr>
                <w:rFonts w:eastAsia="Times New Roman" w:cs="Calibri"/>
                <w:bCs/>
                <w:sz w:val="20"/>
                <w:szCs w:val="20"/>
              </w:rPr>
            </w:pPr>
            <w:r w:rsidRPr="00EA2419">
              <w:rPr>
                <w:rFonts w:eastAsia="Times New Roman" w:cs="Calibri"/>
                <w:bCs/>
                <w:sz w:val="20"/>
                <w:szCs w:val="20"/>
              </w:rPr>
              <w:t>Wechsler Adult Intelligence Scale (WAIS-IV), Letter-Number Sequencing subtest</w:t>
            </w:r>
          </w:p>
        </w:tc>
        <w:tc>
          <w:tcPr>
            <w:tcW w:w="1170" w:type="dxa"/>
            <w:tcBorders>
              <w:top w:val="single" w:sz="4" w:space="0" w:color="auto"/>
              <w:left w:val="nil"/>
              <w:bottom w:val="single" w:sz="4" w:space="0" w:color="auto"/>
              <w:right w:val="single" w:sz="4" w:space="0" w:color="auto"/>
            </w:tcBorders>
            <w:shd w:val="clear" w:color="000000" w:fill="FFFFFF"/>
            <w:hideMark/>
          </w:tcPr>
          <w:p w:rsidR="00EA2419" w:rsidRPr="00EA2419" w:rsidRDefault="00EA2419" w:rsidP="00EA2419">
            <w:pPr>
              <w:spacing w:after="0" w:line="240" w:lineRule="auto"/>
              <w:rPr>
                <w:rFonts w:eastAsia="Times New Roman" w:cs="Calibri"/>
                <w:bCs/>
                <w:sz w:val="20"/>
                <w:szCs w:val="20"/>
              </w:rPr>
            </w:pPr>
            <w:r w:rsidRPr="00EA2419">
              <w:rPr>
                <w:rFonts w:eastAsia="Times New Roman" w:cs="Calibri"/>
                <w:bCs/>
                <w:sz w:val="20"/>
                <w:szCs w:val="20"/>
              </w:rPr>
              <w:t>Adult TBI</w:t>
            </w:r>
          </w:p>
        </w:tc>
        <w:tc>
          <w:tcPr>
            <w:tcW w:w="1530" w:type="dxa"/>
            <w:tcBorders>
              <w:top w:val="single" w:sz="4" w:space="0" w:color="auto"/>
              <w:left w:val="nil"/>
              <w:bottom w:val="single" w:sz="4" w:space="0" w:color="auto"/>
              <w:right w:val="single" w:sz="4" w:space="0" w:color="auto"/>
            </w:tcBorders>
            <w:shd w:val="clear" w:color="000000" w:fill="FFFFFF"/>
            <w:hideMark/>
          </w:tcPr>
          <w:p w:rsidR="00EA2419" w:rsidRPr="00EA2419" w:rsidRDefault="00EA2419" w:rsidP="00EA2419">
            <w:pPr>
              <w:spacing w:after="0" w:line="240" w:lineRule="auto"/>
              <w:rPr>
                <w:rFonts w:eastAsia="Times New Roman" w:cs="Calibri"/>
                <w:bCs/>
                <w:sz w:val="20"/>
                <w:szCs w:val="20"/>
              </w:rPr>
            </w:pPr>
            <w:r w:rsidRPr="00EA2419">
              <w:rPr>
                <w:rFonts w:eastAsia="Times New Roman" w:cs="Calibri"/>
                <w:bCs/>
                <w:sz w:val="20"/>
                <w:szCs w:val="20"/>
              </w:rPr>
              <w:t>Supplemental</w:t>
            </w:r>
          </w:p>
        </w:tc>
        <w:tc>
          <w:tcPr>
            <w:tcW w:w="1530" w:type="dxa"/>
            <w:tcBorders>
              <w:top w:val="single" w:sz="4" w:space="0" w:color="auto"/>
              <w:left w:val="nil"/>
              <w:bottom w:val="single" w:sz="4" w:space="0" w:color="auto"/>
              <w:right w:val="single" w:sz="4" w:space="0" w:color="auto"/>
            </w:tcBorders>
            <w:shd w:val="clear" w:color="000000" w:fill="FFFFFF"/>
            <w:hideMark/>
          </w:tcPr>
          <w:p w:rsidR="00EA2419" w:rsidRPr="00EA2419" w:rsidRDefault="00EA2419" w:rsidP="00EA2419">
            <w:pPr>
              <w:spacing w:after="0" w:line="240" w:lineRule="auto"/>
              <w:rPr>
                <w:rFonts w:eastAsia="Times New Roman" w:cs="Calibri"/>
                <w:bCs/>
                <w:sz w:val="20"/>
                <w:szCs w:val="20"/>
              </w:rPr>
            </w:pPr>
            <w:r w:rsidRPr="00EA2419">
              <w:rPr>
                <w:rFonts w:eastAsia="Times New Roman" w:cs="Calibri"/>
                <w:bCs/>
                <w:sz w:val="20"/>
                <w:szCs w:val="20"/>
              </w:rPr>
              <w:t>Supplemental</w:t>
            </w:r>
          </w:p>
        </w:tc>
        <w:tc>
          <w:tcPr>
            <w:tcW w:w="1530" w:type="dxa"/>
            <w:tcBorders>
              <w:top w:val="single" w:sz="4" w:space="0" w:color="auto"/>
              <w:left w:val="nil"/>
              <w:bottom w:val="single" w:sz="4" w:space="0" w:color="auto"/>
              <w:right w:val="single" w:sz="4" w:space="0" w:color="auto"/>
            </w:tcBorders>
            <w:shd w:val="clear" w:color="000000" w:fill="FFFFFF"/>
          </w:tcPr>
          <w:p w:rsidR="00EA2419" w:rsidRPr="00EA2419" w:rsidRDefault="00EA2419" w:rsidP="00EA2419">
            <w:pPr>
              <w:spacing w:after="0" w:line="240" w:lineRule="auto"/>
              <w:rPr>
                <w:rFonts w:eastAsia="Times New Roman" w:cs="Calibri"/>
                <w:bCs/>
                <w:sz w:val="20"/>
                <w:szCs w:val="20"/>
              </w:rPr>
            </w:pPr>
            <w:r w:rsidRPr="00EA2419">
              <w:rPr>
                <w:rFonts w:eastAsia="Times New Roman" w:cs="Calibri"/>
                <w:bCs/>
                <w:sz w:val="20"/>
                <w:szCs w:val="20"/>
              </w:rPr>
              <w:t>Supplemental</w:t>
            </w:r>
          </w:p>
        </w:tc>
        <w:tc>
          <w:tcPr>
            <w:tcW w:w="1530" w:type="dxa"/>
            <w:tcBorders>
              <w:top w:val="single" w:sz="4" w:space="0" w:color="auto"/>
              <w:left w:val="single" w:sz="4" w:space="0" w:color="auto"/>
              <w:bottom w:val="single" w:sz="4" w:space="0" w:color="auto"/>
              <w:right w:val="single" w:sz="4" w:space="0" w:color="auto"/>
            </w:tcBorders>
            <w:shd w:val="clear" w:color="000000" w:fill="FFFFFF"/>
            <w:hideMark/>
          </w:tcPr>
          <w:p w:rsidR="00EA2419" w:rsidRPr="00EA2419" w:rsidRDefault="00EA2419" w:rsidP="00EA2419">
            <w:pPr>
              <w:spacing w:after="0" w:line="240" w:lineRule="auto"/>
              <w:rPr>
                <w:rFonts w:eastAsia="Times New Roman" w:cs="Calibri"/>
                <w:bCs/>
                <w:sz w:val="20"/>
                <w:szCs w:val="20"/>
              </w:rPr>
            </w:pPr>
            <w:r w:rsidRPr="00EA2419">
              <w:rPr>
                <w:rFonts w:eastAsia="Times New Roman" w:cs="Calibri"/>
                <w:bCs/>
                <w:sz w:val="20"/>
                <w:szCs w:val="20"/>
              </w:rPr>
              <w:t>Supplemental</w:t>
            </w:r>
          </w:p>
        </w:tc>
      </w:tr>
      <w:tr w:rsidR="00EA2419" w:rsidRPr="00EA2419" w:rsidTr="006C4F95">
        <w:trPr>
          <w:cantSplit/>
          <w:trHeight w:val="600"/>
        </w:trPr>
        <w:tc>
          <w:tcPr>
            <w:tcW w:w="1890" w:type="dxa"/>
            <w:tcBorders>
              <w:top w:val="single" w:sz="4" w:space="0" w:color="auto"/>
              <w:left w:val="single" w:sz="4" w:space="0" w:color="auto"/>
              <w:bottom w:val="single" w:sz="4" w:space="0" w:color="auto"/>
              <w:right w:val="single" w:sz="4" w:space="0" w:color="auto"/>
            </w:tcBorders>
            <w:shd w:val="clear" w:color="000000" w:fill="FFFFFF"/>
            <w:hideMark/>
          </w:tcPr>
          <w:p w:rsidR="00EA2419" w:rsidRPr="00EA2419" w:rsidRDefault="00EA2419" w:rsidP="00EA2419">
            <w:pPr>
              <w:spacing w:after="0" w:line="240" w:lineRule="auto"/>
              <w:rPr>
                <w:rFonts w:eastAsia="Times New Roman" w:cs="Calibri"/>
                <w:bCs/>
                <w:sz w:val="20"/>
                <w:szCs w:val="20"/>
              </w:rPr>
            </w:pPr>
            <w:r w:rsidRPr="00EA2419">
              <w:rPr>
                <w:rFonts w:eastAsia="Times New Roman" w:cs="Calibri"/>
                <w:bCs/>
                <w:sz w:val="20"/>
                <w:szCs w:val="20"/>
              </w:rPr>
              <w:t xml:space="preserve">Wechsler Adult Intelligence Scale (WAIS-IV), Processing Speed Index </w:t>
            </w:r>
          </w:p>
        </w:tc>
        <w:tc>
          <w:tcPr>
            <w:tcW w:w="1170" w:type="dxa"/>
            <w:tcBorders>
              <w:top w:val="single" w:sz="4" w:space="0" w:color="auto"/>
              <w:left w:val="nil"/>
              <w:bottom w:val="single" w:sz="4" w:space="0" w:color="auto"/>
              <w:right w:val="single" w:sz="4" w:space="0" w:color="auto"/>
            </w:tcBorders>
            <w:shd w:val="clear" w:color="000000" w:fill="FFFFFF"/>
            <w:hideMark/>
          </w:tcPr>
          <w:p w:rsidR="00EA2419" w:rsidRPr="00EA2419" w:rsidRDefault="00EA2419" w:rsidP="00EA2419">
            <w:pPr>
              <w:spacing w:after="0" w:line="240" w:lineRule="auto"/>
              <w:rPr>
                <w:rFonts w:eastAsia="Times New Roman" w:cs="Calibri"/>
                <w:bCs/>
                <w:sz w:val="20"/>
                <w:szCs w:val="20"/>
              </w:rPr>
            </w:pPr>
            <w:r w:rsidRPr="00EA2419">
              <w:rPr>
                <w:rFonts w:eastAsia="Times New Roman" w:cs="Calibri"/>
                <w:bCs/>
                <w:sz w:val="20"/>
                <w:szCs w:val="20"/>
              </w:rPr>
              <w:t>Adult TBI</w:t>
            </w:r>
          </w:p>
        </w:tc>
        <w:tc>
          <w:tcPr>
            <w:tcW w:w="1530" w:type="dxa"/>
            <w:tcBorders>
              <w:top w:val="single" w:sz="4" w:space="0" w:color="auto"/>
              <w:left w:val="nil"/>
              <w:bottom w:val="single" w:sz="4" w:space="0" w:color="auto"/>
              <w:right w:val="single" w:sz="4" w:space="0" w:color="auto"/>
            </w:tcBorders>
            <w:shd w:val="clear" w:color="000000" w:fill="FFFFFF"/>
            <w:hideMark/>
          </w:tcPr>
          <w:p w:rsidR="00EA2419" w:rsidRPr="00EA2419" w:rsidRDefault="00EA2419" w:rsidP="00EA2419">
            <w:pPr>
              <w:spacing w:after="0" w:line="240" w:lineRule="auto"/>
              <w:rPr>
                <w:rFonts w:eastAsia="Times New Roman" w:cs="Calibri"/>
                <w:bCs/>
                <w:sz w:val="20"/>
                <w:szCs w:val="20"/>
              </w:rPr>
            </w:pPr>
            <w:r w:rsidRPr="00EA2419">
              <w:rPr>
                <w:rFonts w:eastAsia="Times New Roman" w:cs="Calibri"/>
                <w:bCs/>
                <w:sz w:val="20"/>
                <w:szCs w:val="20"/>
              </w:rPr>
              <w:t>Basic</w:t>
            </w:r>
          </w:p>
        </w:tc>
        <w:tc>
          <w:tcPr>
            <w:tcW w:w="1530" w:type="dxa"/>
            <w:tcBorders>
              <w:top w:val="single" w:sz="4" w:space="0" w:color="auto"/>
              <w:left w:val="nil"/>
              <w:bottom w:val="single" w:sz="4" w:space="0" w:color="auto"/>
              <w:right w:val="single" w:sz="4" w:space="0" w:color="auto"/>
            </w:tcBorders>
            <w:shd w:val="clear" w:color="000000" w:fill="FFFFFF"/>
            <w:hideMark/>
          </w:tcPr>
          <w:p w:rsidR="00EA2419" w:rsidRPr="00EA2419" w:rsidRDefault="00EA2419" w:rsidP="00EA2419">
            <w:pPr>
              <w:spacing w:after="0" w:line="240" w:lineRule="auto"/>
              <w:rPr>
                <w:rFonts w:eastAsia="Times New Roman" w:cs="Calibri"/>
                <w:bCs/>
                <w:sz w:val="20"/>
                <w:szCs w:val="20"/>
              </w:rPr>
            </w:pPr>
            <w:r w:rsidRPr="00EA2419">
              <w:rPr>
                <w:rFonts w:eastAsia="Times New Roman" w:cs="Calibri"/>
                <w:bCs/>
                <w:sz w:val="20"/>
                <w:szCs w:val="20"/>
              </w:rPr>
              <w:t>Basic</w:t>
            </w:r>
          </w:p>
        </w:tc>
        <w:tc>
          <w:tcPr>
            <w:tcW w:w="1530" w:type="dxa"/>
            <w:tcBorders>
              <w:top w:val="single" w:sz="4" w:space="0" w:color="auto"/>
              <w:left w:val="nil"/>
              <w:bottom w:val="single" w:sz="4" w:space="0" w:color="auto"/>
              <w:right w:val="single" w:sz="4" w:space="0" w:color="auto"/>
            </w:tcBorders>
            <w:shd w:val="clear" w:color="000000" w:fill="FFFFFF"/>
          </w:tcPr>
          <w:p w:rsidR="00EA2419" w:rsidRPr="00EA2419" w:rsidRDefault="00EA2419" w:rsidP="0085772F">
            <w:pPr>
              <w:spacing w:after="0" w:line="240" w:lineRule="auto"/>
              <w:rPr>
                <w:rFonts w:eastAsia="Times New Roman" w:cs="Calibri"/>
                <w:bCs/>
                <w:sz w:val="20"/>
                <w:szCs w:val="20"/>
              </w:rPr>
            </w:pPr>
            <w:r w:rsidRPr="00EA2419">
              <w:rPr>
                <w:rFonts w:eastAsia="Times New Roman" w:cs="Calibri"/>
                <w:bCs/>
                <w:sz w:val="20"/>
                <w:szCs w:val="20"/>
              </w:rPr>
              <w:t>Basic</w:t>
            </w:r>
          </w:p>
        </w:tc>
        <w:tc>
          <w:tcPr>
            <w:tcW w:w="1530" w:type="dxa"/>
            <w:tcBorders>
              <w:top w:val="single" w:sz="4" w:space="0" w:color="auto"/>
              <w:left w:val="single" w:sz="4" w:space="0" w:color="auto"/>
              <w:bottom w:val="single" w:sz="4" w:space="0" w:color="auto"/>
              <w:right w:val="single" w:sz="4" w:space="0" w:color="auto"/>
            </w:tcBorders>
            <w:shd w:val="clear" w:color="000000" w:fill="FFFFFF"/>
            <w:hideMark/>
          </w:tcPr>
          <w:p w:rsidR="00EA2419" w:rsidRPr="00EA2419" w:rsidRDefault="00EA2419" w:rsidP="0085772F">
            <w:pPr>
              <w:spacing w:after="0" w:line="240" w:lineRule="auto"/>
              <w:rPr>
                <w:rFonts w:eastAsia="Times New Roman" w:cs="Calibri"/>
                <w:bCs/>
                <w:sz w:val="20"/>
                <w:szCs w:val="20"/>
              </w:rPr>
            </w:pPr>
            <w:r w:rsidRPr="00EA2419">
              <w:rPr>
                <w:rFonts w:eastAsia="Times New Roman" w:cs="Calibri"/>
                <w:bCs/>
                <w:sz w:val="20"/>
                <w:szCs w:val="20"/>
              </w:rPr>
              <w:t>Supplemental</w:t>
            </w:r>
          </w:p>
        </w:tc>
      </w:tr>
      <w:tr w:rsidR="00EA2419" w:rsidRPr="00EA2419" w:rsidTr="006C4F95">
        <w:trPr>
          <w:cantSplit/>
          <w:trHeight w:val="600"/>
        </w:trPr>
        <w:tc>
          <w:tcPr>
            <w:tcW w:w="1890" w:type="dxa"/>
            <w:tcBorders>
              <w:top w:val="single" w:sz="4" w:space="0" w:color="auto"/>
              <w:left w:val="single" w:sz="4" w:space="0" w:color="auto"/>
              <w:bottom w:val="single" w:sz="4" w:space="0" w:color="auto"/>
              <w:right w:val="single" w:sz="4" w:space="0" w:color="auto"/>
            </w:tcBorders>
            <w:shd w:val="clear" w:color="000000" w:fill="FFFFFF"/>
            <w:hideMark/>
          </w:tcPr>
          <w:p w:rsidR="00EA2419" w:rsidRPr="00EA2419" w:rsidRDefault="00EA2419" w:rsidP="00EA2419">
            <w:pPr>
              <w:spacing w:after="0" w:line="240" w:lineRule="auto"/>
              <w:rPr>
                <w:rFonts w:eastAsia="Times New Roman" w:cs="Calibri"/>
                <w:bCs/>
                <w:sz w:val="20"/>
                <w:szCs w:val="20"/>
              </w:rPr>
            </w:pPr>
            <w:r w:rsidRPr="00EA2419">
              <w:rPr>
                <w:rFonts w:eastAsia="Times New Roman" w:cs="Calibri"/>
                <w:bCs/>
                <w:sz w:val="20"/>
                <w:szCs w:val="20"/>
              </w:rPr>
              <w:t>Wide-Range Assessment of Memory and Learning-Revised (WRAML-2)</w:t>
            </w:r>
          </w:p>
        </w:tc>
        <w:tc>
          <w:tcPr>
            <w:tcW w:w="1170" w:type="dxa"/>
            <w:tcBorders>
              <w:top w:val="single" w:sz="4" w:space="0" w:color="auto"/>
              <w:left w:val="nil"/>
              <w:bottom w:val="single" w:sz="4" w:space="0" w:color="auto"/>
              <w:right w:val="single" w:sz="4" w:space="0" w:color="auto"/>
            </w:tcBorders>
            <w:shd w:val="clear" w:color="000000" w:fill="FFFFFF"/>
            <w:hideMark/>
          </w:tcPr>
          <w:p w:rsidR="00EA2419" w:rsidRPr="00EA2419" w:rsidRDefault="00EA2419" w:rsidP="00EA2419">
            <w:pPr>
              <w:spacing w:after="0" w:line="240" w:lineRule="auto"/>
              <w:rPr>
                <w:rFonts w:eastAsia="Times New Roman" w:cs="Calibri"/>
                <w:bCs/>
                <w:sz w:val="20"/>
                <w:szCs w:val="20"/>
              </w:rPr>
            </w:pPr>
            <w:r w:rsidRPr="00EA2419">
              <w:rPr>
                <w:rFonts w:eastAsia="Times New Roman" w:cs="Calibri"/>
                <w:bCs/>
                <w:sz w:val="20"/>
                <w:szCs w:val="20"/>
              </w:rPr>
              <w:t>Pediatric TBI</w:t>
            </w:r>
          </w:p>
        </w:tc>
        <w:tc>
          <w:tcPr>
            <w:tcW w:w="1530" w:type="dxa"/>
            <w:tcBorders>
              <w:top w:val="single" w:sz="4" w:space="0" w:color="auto"/>
              <w:left w:val="nil"/>
              <w:bottom w:val="single" w:sz="4" w:space="0" w:color="auto"/>
              <w:right w:val="single" w:sz="4" w:space="0" w:color="auto"/>
            </w:tcBorders>
            <w:shd w:val="clear" w:color="000000" w:fill="FFFFFF"/>
            <w:hideMark/>
          </w:tcPr>
          <w:p w:rsidR="00EA2419" w:rsidRPr="00EA2419" w:rsidRDefault="00EA2419" w:rsidP="00EA2419">
            <w:pPr>
              <w:spacing w:after="0" w:line="240" w:lineRule="auto"/>
              <w:rPr>
                <w:rFonts w:eastAsia="Times New Roman" w:cs="Calibri"/>
                <w:bCs/>
                <w:sz w:val="20"/>
                <w:szCs w:val="20"/>
              </w:rPr>
            </w:pPr>
            <w:r w:rsidRPr="00EA2419">
              <w:rPr>
                <w:rFonts w:eastAsia="Times New Roman" w:cs="Calibri"/>
                <w:bCs/>
                <w:sz w:val="20"/>
                <w:szCs w:val="20"/>
              </w:rPr>
              <w:t>Supplemental</w:t>
            </w:r>
          </w:p>
        </w:tc>
        <w:tc>
          <w:tcPr>
            <w:tcW w:w="1530" w:type="dxa"/>
            <w:tcBorders>
              <w:top w:val="single" w:sz="4" w:space="0" w:color="auto"/>
              <w:left w:val="nil"/>
              <w:bottom w:val="single" w:sz="4" w:space="0" w:color="auto"/>
              <w:right w:val="single" w:sz="4" w:space="0" w:color="auto"/>
            </w:tcBorders>
            <w:shd w:val="clear" w:color="000000" w:fill="FFFFFF"/>
            <w:hideMark/>
          </w:tcPr>
          <w:p w:rsidR="00EA2419" w:rsidRPr="00EA2419" w:rsidRDefault="00EA2419" w:rsidP="00EA2419">
            <w:pPr>
              <w:spacing w:after="0" w:line="240" w:lineRule="auto"/>
              <w:rPr>
                <w:rFonts w:eastAsia="Times New Roman" w:cs="Calibri"/>
                <w:bCs/>
                <w:sz w:val="20"/>
                <w:szCs w:val="20"/>
              </w:rPr>
            </w:pPr>
            <w:r w:rsidRPr="00EA2419">
              <w:rPr>
                <w:rFonts w:eastAsia="Times New Roman" w:cs="Calibri"/>
                <w:bCs/>
                <w:sz w:val="20"/>
                <w:szCs w:val="20"/>
              </w:rPr>
              <w:t>Supplemental</w:t>
            </w:r>
          </w:p>
        </w:tc>
        <w:tc>
          <w:tcPr>
            <w:tcW w:w="1530" w:type="dxa"/>
            <w:tcBorders>
              <w:top w:val="single" w:sz="4" w:space="0" w:color="auto"/>
              <w:left w:val="nil"/>
              <w:bottom w:val="single" w:sz="4" w:space="0" w:color="auto"/>
              <w:right w:val="single" w:sz="4" w:space="0" w:color="auto"/>
            </w:tcBorders>
            <w:shd w:val="clear" w:color="000000" w:fill="FFFFFF"/>
          </w:tcPr>
          <w:p w:rsidR="00EA2419" w:rsidRPr="00EA2419" w:rsidRDefault="00EA2419" w:rsidP="00EA2419">
            <w:pPr>
              <w:spacing w:after="0" w:line="240" w:lineRule="auto"/>
              <w:rPr>
                <w:rFonts w:eastAsia="Times New Roman" w:cs="Calibri"/>
                <w:bCs/>
                <w:sz w:val="20"/>
                <w:szCs w:val="20"/>
              </w:rPr>
            </w:pPr>
            <w:r w:rsidRPr="00EA2419">
              <w:rPr>
                <w:rFonts w:eastAsia="Times New Roman" w:cs="Calibri"/>
                <w:bCs/>
                <w:sz w:val="20"/>
                <w:szCs w:val="20"/>
              </w:rPr>
              <w:t>Supplemental</w:t>
            </w:r>
          </w:p>
        </w:tc>
        <w:tc>
          <w:tcPr>
            <w:tcW w:w="1530" w:type="dxa"/>
            <w:tcBorders>
              <w:top w:val="single" w:sz="4" w:space="0" w:color="auto"/>
              <w:left w:val="single" w:sz="4" w:space="0" w:color="auto"/>
              <w:bottom w:val="single" w:sz="4" w:space="0" w:color="auto"/>
              <w:right w:val="single" w:sz="4" w:space="0" w:color="auto"/>
            </w:tcBorders>
            <w:shd w:val="clear" w:color="000000" w:fill="FFFFFF"/>
            <w:hideMark/>
          </w:tcPr>
          <w:p w:rsidR="00EA2419" w:rsidRPr="00EA2419" w:rsidRDefault="00EA2419" w:rsidP="00EA2419">
            <w:pPr>
              <w:spacing w:after="0" w:line="240" w:lineRule="auto"/>
              <w:rPr>
                <w:rFonts w:eastAsia="Times New Roman" w:cs="Calibri"/>
                <w:bCs/>
                <w:sz w:val="20"/>
                <w:szCs w:val="20"/>
              </w:rPr>
            </w:pPr>
            <w:r w:rsidRPr="00EA2419">
              <w:rPr>
                <w:rFonts w:eastAsia="Times New Roman" w:cs="Calibri"/>
                <w:bCs/>
                <w:sz w:val="20"/>
                <w:szCs w:val="20"/>
              </w:rPr>
              <w:t>Supplemental</w:t>
            </w:r>
          </w:p>
        </w:tc>
      </w:tr>
      <w:tr w:rsidR="00426588" w:rsidRPr="00EA2419" w:rsidTr="006C4F95">
        <w:trPr>
          <w:cantSplit/>
          <w:trHeight w:val="600"/>
        </w:trPr>
        <w:tc>
          <w:tcPr>
            <w:tcW w:w="1890" w:type="dxa"/>
            <w:tcBorders>
              <w:top w:val="single" w:sz="4" w:space="0" w:color="auto"/>
              <w:left w:val="single" w:sz="4" w:space="0" w:color="auto"/>
              <w:bottom w:val="single" w:sz="4" w:space="0" w:color="auto"/>
              <w:right w:val="single" w:sz="4" w:space="0" w:color="auto"/>
            </w:tcBorders>
            <w:shd w:val="clear" w:color="000000" w:fill="FFFFFF"/>
            <w:hideMark/>
          </w:tcPr>
          <w:p w:rsidR="00426588" w:rsidRPr="00EA2419" w:rsidRDefault="00B064E0" w:rsidP="00426588">
            <w:pPr>
              <w:spacing w:after="0" w:line="240" w:lineRule="auto"/>
              <w:rPr>
                <w:rFonts w:eastAsia="Times New Roman" w:cs="Calibri"/>
                <w:bCs/>
                <w:sz w:val="20"/>
                <w:szCs w:val="20"/>
              </w:rPr>
            </w:pPr>
            <w:r w:rsidRPr="00EA2419">
              <w:rPr>
                <w:rFonts w:eastAsia="Times New Roman" w:cs="Calibri"/>
                <w:bCs/>
                <w:sz w:val="20"/>
                <w:szCs w:val="20"/>
              </w:rPr>
              <w:t xml:space="preserve">WISC-IV/WPPSI-III </w:t>
            </w:r>
            <w:r w:rsidR="00426588" w:rsidRPr="00EA2419">
              <w:rPr>
                <w:rFonts w:eastAsia="Times New Roman" w:cs="Calibri"/>
                <w:bCs/>
                <w:sz w:val="20"/>
                <w:szCs w:val="20"/>
              </w:rPr>
              <w:t xml:space="preserve">Block Design </w:t>
            </w:r>
          </w:p>
        </w:tc>
        <w:tc>
          <w:tcPr>
            <w:tcW w:w="1170" w:type="dxa"/>
            <w:tcBorders>
              <w:top w:val="single" w:sz="4" w:space="0" w:color="auto"/>
              <w:left w:val="nil"/>
              <w:bottom w:val="single" w:sz="4" w:space="0" w:color="auto"/>
              <w:right w:val="single" w:sz="4" w:space="0" w:color="auto"/>
            </w:tcBorders>
            <w:shd w:val="clear" w:color="000000" w:fill="FFFFFF"/>
            <w:hideMark/>
          </w:tcPr>
          <w:p w:rsidR="00426588" w:rsidRPr="00EA2419" w:rsidRDefault="00426588" w:rsidP="00426588">
            <w:pPr>
              <w:spacing w:after="0" w:line="240" w:lineRule="auto"/>
              <w:rPr>
                <w:rFonts w:eastAsia="Times New Roman" w:cs="Calibri"/>
                <w:bCs/>
                <w:sz w:val="20"/>
                <w:szCs w:val="20"/>
              </w:rPr>
            </w:pPr>
            <w:r w:rsidRPr="00EA2419">
              <w:rPr>
                <w:rFonts w:eastAsia="Times New Roman" w:cs="Calibri"/>
                <w:bCs/>
                <w:sz w:val="20"/>
                <w:szCs w:val="20"/>
              </w:rPr>
              <w:t>Pediatric TBI</w:t>
            </w:r>
          </w:p>
        </w:tc>
        <w:tc>
          <w:tcPr>
            <w:tcW w:w="1530" w:type="dxa"/>
            <w:tcBorders>
              <w:top w:val="single" w:sz="4" w:space="0" w:color="auto"/>
              <w:left w:val="nil"/>
              <w:bottom w:val="single" w:sz="4" w:space="0" w:color="auto"/>
              <w:right w:val="single" w:sz="4" w:space="0" w:color="auto"/>
            </w:tcBorders>
            <w:shd w:val="clear" w:color="000000" w:fill="FFFFFF"/>
            <w:hideMark/>
          </w:tcPr>
          <w:p w:rsidR="00426588" w:rsidRPr="00EA2419" w:rsidRDefault="00426588" w:rsidP="00426588">
            <w:pPr>
              <w:spacing w:after="0" w:line="240" w:lineRule="auto"/>
              <w:rPr>
                <w:rFonts w:eastAsia="Times New Roman" w:cs="Calibri"/>
                <w:bCs/>
                <w:sz w:val="20"/>
                <w:szCs w:val="20"/>
              </w:rPr>
            </w:pPr>
            <w:r w:rsidRPr="00EA2419">
              <w:rPr>
                <w:rFonts w:eastAsia="Times New Roman" w:cs="Calibri"/>
                <w:bCs/>
                <w:sz w:val="20"/>
                <w:szCs w:val="20"/>
              </w:rPr>
              <w:t>Supplemental</w:t>
            </w:r>
          </w:p>
        </w:tc>
        <w:tc>
          <w:tcPr>
            <w:tcW w:w="1530" w:type="dxa"/>
            <w:tcBorders>
              <w:top w:val="single" w:sz="4" w:space="0" w:color="auto"/>
              <w:left w:val="nil"/>
              <w:bottom w:val="single" w:sz="4" w:space="0" w:color="auto"/>
              <w:right w:val="single" w:sz="4" w:space="0" w:color="auto"/>
            </w:tcBorders>
            <w:shd w:val="clear" w:color="000000" w:fill="FFFFFF"/>
            <w:hideMark/>
          </w:tcPr>
          <w:p w:rsidR="00426588" w:rsidRPr="00EA2419" w:rsidRDefault="00426588" w:rsidP="00426588">
            <w:pPr>
              <w:spacing w:after="0" w:line="240" w:lineRule="auto"/>
              <w:rPr>
                <w:rFonts w:eastAsia="Times New Roman" w:cs="Calibri"/>
                <w:bCs/>
                <w:sz w:val="20"/>
                <w:szCs w:val="20"/>
              </w:rPr>
            </w:pPr>
            <w:r w:rsidRPr="00EA2419">
              <w:rPr>
                <w:rFonts w:eastAsia="Times New Roman" w:cs="Calibri"/>
                <w:bCs/>
                <w:sz w:val="20"/>
                <w:szCs w:val="20"/>
              </w:rPr>
              <w:t>Supplemental</w:t>
            </w:r>
          </w:p>
        </w:tc>
        <w:tc>
          <w:tcPr>
            <w:tcW w:w="1530" w:type="dxa"/>
            <w:tcBorders>
              <w:top w:val="single" w:sz="4" w:space="0" w:color="auto"/>
              <w:left w:val="nil"/>
              <w:bottom w:val="single" w:sz="4" w:space="0" w:color="auto"/>
              <w:right w:val="single" w:sz="4" w:space="0" w:color="auto"/>
            </w:tcBorders>
            <w:shd w:val="clear" w:color="000000" w:fill="FFFFFF"/>
          </w:tcPr>
          <w:p w:rsidR="00426588" w:rsidRPr="00EA2419" w:rsidRDefault="00426588" w:rsidP="00426588">
            <w:pPr>
              <w:spacing w:after="0" w:line="240" w:lineRule="auto"/>
              <w:rPr>
                <w:rFonts w:eastAsia="Times New Roman" w:cs="Calibri"/>
                <w:bCs/>
                <w:sz w:val="20"/>
                <w:szCs w:val="20"/>
              </w:rPr>
            </w:pPr>
            <w:r w:rsidRPr="00EA2419">
              <w:rPr>
                <w:rFonts w:eastAsia="Times New Roman" w:cs="Calibri"/>
                <w:bCs/>
                <w:sz w:val="20"/>
                <w:szCs w:val="20"/>
              </w:rPr>
              <w:t>Supplemental</w:t>
            </w:r>
          </w:p>
        </w:tc>
        <w:tc>
          <w:tcPr>
            <w:tcW w:w="1530" w:type="dxa"/>
            <w:tcBorders>
              <w:top w:val="single" w:sz="4" w:space="0" w:color="auto"/>
              <w:left w:val="single" w:sz="4" w:space="0" w:color="auto"/>
              <w:bottom w:val="single" w:sz="4" w:space="0" w:color="auto"/>
              <w:right w:val="single" w:sz="4" w:space="0" w:color="auto"/>
            </w:tcBorders>
            <w:shd w:val="clear" w:color="000000" w:fill="FFFFFF"/>
            <w:hideMark/>
          </w:tcPr>
          <w:p w:rsidR="00426588" w:rsidRPr="00EA2419" w:rsidRDefault="00426588" w:rsidP="00426588">
            <w:pPr>
              <w:spacing w:after="0" w:line="240" w:lineRule="auto"/>
              <w:rPr>
                <w:rFonts w:eastAsia="Times New Roman" w:cs="Calibri"/>
                <w:bCs/>
                <w:sz w:val="20"/>
                <w:szCs w:val="20"/>
              </w:rPr>
            </w:pPr>
            <w:r w:rsidRPr="00EA2419">
              <w:rPr>
                <w:rFonts w:eastAsia="Times New Roman" w:cs="Calibri"/>
                <w:bCs/>
                <w:sz w:val="20"/>
                <w:szCs w:val="20"/>
              </w:rPr>
              <w:t>Supplemental</w:t>
            </w:r>
          </w:p>
        </w:tc>
      </w:tr>
      <w:tr w:rsidR="00EA2419" w:rsidRPr="00EA2419" w:rsidTr="006C4F95">
        <w:trPr>
          <w:cantSplit/>
          <w:trHeight w:val="600"/>
        </w:trPr>
        <w:tc>
          <w:tcPr>
            <w:tcW w:w="1890" w:type="dxa"/>
            <w:tcBorders>
              <w:top w:val="single" w:sz="4" w:space="0" w:color="auto"/>
              <w:left w:val="single" w:sz="4" w:space="0" w:color="auto"/>
              <w:bottom w:val="single" w:sz="4" w:space="0" w:color="auto"/>
              <w:right w:val="single" w:sz="4" w:space="0" w:color="auto"/>
            </w:tcBorders>
            <w:shd w:val="clear" w:color="000000" w:fill="FFFFFF"/>
            <w:hideMark/>
          </w:tcPr>
          <w:p w:rsidR="00EA2419" w:rsidRPr="00EA2419" w:rsidRDefault="00EA2419" w:rsidP="00EA2419">
            <w:pPr>
              <w:spacing w:after="0" w:line="240" w:lineRule="auto"/>
              <w:rPr>
                <w:rFonts w:eastAsia="Times New Roman" w:cs="Calibri"/>
                <w:bCs/>
                <w:sz w:val="20"/>
                <w:szCs w:val="20"/>
              </w:rPr>
            </w:pPr>
            <w:r w:rsidRPr="00EA2419">
              <w:rPr>
                <w:rFonts w:eastAsia="Times New Roman" w:cs="Calibri"/>
                <w:bCs/>
                <w:sz w:val="20"/>
                <w:szCs w:val="20"/>
              </w:rPr>
              <w:t>WISC-IV/WPPSI-III Processing Speed Index</w:t>
            </w:r>
          </w:p>
        </w:tc>
        <w:tc>
          <w:tcPr>
            <w:tcW w:w="1170" w:type="dxa"/>
            <w:tcBorders>
              <w:top w:val="single" w:sz="4" w:space="0" w:color="auto"/>
              <w:left w:val="nil"/>
              <w:bottom w:val="single" w:sz="4" w:space="0" w:color="auto"/>
              <w:right w:val="single" w:sz="4" w:space="0" w:color="auto"/>
            </w:tcBorders>
            <w:shd w:val="clear" w:color="000000" w:fill="FFFFFF"/>
            <w:hideMark/>
          </w:tcPr>
          <w:p w:rsidR="00EA2419" w:rsidRPr="00EA2419" w:rsidRDefault="00EA2419" w:rsidP="00EA2419">
            <w:pPr>
              <w:spacing w:after="0" w:line="240" w:lineRule="auto"/>
              <w:rPr>
                <w:rFonts w:eastAsia="Times New Roman" w:cs="Calibri"/>
                <w:bCs/>
                <w:sz w:val="20"/>
                <w:szCs w:val="20"/>
              </w:rPr>
            </w:pPr>
            <w:r w:rsidRPr="00EA2419">
              <w:rPr>
                <w:rFonts w:eastAsia="Times New Roman" w:cs="Calibri"/>
                <w:bCs/>
                <w:sz w:val="20"/>
                <w:szCs w:val="20"/>
              </w:rPr>
              <w:t>Pediatric TBI</w:t>
            </w:r>
          </w:p>
        </w:tc>
        <w:tc>
          <w:tcPr>
            <w:tcW w:w="1530" w:type="dxa"/>
            <w:tcBorders>
              <w:top w:val="single" w:sz="4" w:space="0" w:color="auto"/>
              <w:left w:val="nil"/>
              <w:bottom w:val="single" w:sz="4" w:space="0" w:color="auto"/>
              <w:right w:val="single" w:sz="4" w:space="0" w:color="auto"/>
            </w:tcBorders>
            <w:shd w:val="clear" w:color="000000" w:fill="FFFFFF"/>
            <w:hideMark/>
          </w:tcPr>
          <w:p w:rsidR="00EA2419" w:rsidRPr="00EA2419" w:rsidRDefault="00EA2419" w:rsidP="00EA2419">
            <w:pPr>
              <w:spacing w:after="0" w:line="240" w:lineRule="auto"/>
              <w:rPr>
                <w:rFonts w:eastAsia="Times New Roman" w:cs="Calibri"/>
                <w:bCs/>
                <w:sz w:val="20"/>
                <w:szCs w:val="20"/>
              </w:rPr>
            </w:pPr>
            <w:r w:rsidRPr="00EA2419">
              <w:rPr>
                <w:rFonts w:eastAsia="Times New Roman" w:cs="Calibri"/>
                <w:bCs/>
                <w:sz w:val="20"/>
                <w:szCs w:val="20"/>
              </w:rPr>
              <w:t>Basic</w:t>
            </w:r>
          </w:p>
        </w:tc>
        <w:tc>
          <w:tcPr>
            <w:tcW w:w="1530" w:type="dxa"/>
            <w:tcBorders>
              <w:top w:val="single" w:sz="4" w:space="0" w:color="auto"/>
              <w:left w:val="nil"/>
              <w:bottom w:val="single" w:sz="4" w:space="0" w:color="auto"/>
              <w:right w:val="single" w:sz="4" w:space="0" w:color="auto"/>
            </w:tcBorders>
            <w:shd w:val="clear" w:color="000000" w:fill="FFFFFF"/>
            <w:hideMark/>
          </w:tcPr>
          <w:p w:rsidR="00EA2419" w:rsidRPr="00EA2419" w:rsidRDefault="00EA2419" w:rsidP="00EA2419">
            <w:pPr>
              <w:spacing w:after="0" w:line="240" w:lineRule="auto"/>
              <w:rPr>
                <w:rFonts w:eastAsia="Times New Roman" w:cs="Calibri"/>
                <w:bCs/>
                <w:sz w:val="20"/>
                <w:szCs w:val="20"/>
              </w:rPr>
            </w:pPr>
            <w:r w:rsidRPr="00EA2419">
              <w:rPr>
                <w:rFonts w:eastAsia="Times New Roman" w:cs="Calibri"/>
                <w:bCs/>
                <w:sz w:val="20"/>
                <w:szCs w:val="20"/>
              </w:rPr>
              <w:t>Basic</w:t>
            </w:r>
          </w:p>
        </w:tc>
        <w:tc>
          <w:tcPr>
            <w:tcW w:w="1530" w:type="dxa"/>
            <w:tcBorders>
              <w:top w:val="single" w:sz="4" w:space="0" w:color="auto"/>
              <w:left w:val="nil"/>
              <w:bottom w:val="single" w:sz="4" w:space="0" w:color="auto"/>
              <w:right w:val="single" w:sz="4" w:space="0" w:color="auto"/>
            </w:tcBorders>
            <w:shd w:val="clear" w:color="000000" w:fill="FFFFFF"/>
          </w:tcPr>
          <w:p w:rsidR="00EA2419" w:rsidRPr="00EA2419" w:rsidRDefault="00EA2419" w:rsidP="0085772F">
            <w:pPr>
              <w:spacing w:after="0" w:line="240" w:lineRule="auto"/>
              <w:rPr>
                <w:rFonts w:eastAsia="Times New Roman" w:cs="Calibri"/>
                <w:bCs/>
                <w:sz w:val="20"/>
                <w:szCs w:val="20"/>
              </w:rPr>
            </w:pPr>
            <w:r w:rsidRPr="00EA2419">
              <w:rPr>
                <w:rFonts w:eastAsia="Times New Roman" w:cs="Calibri"/>
                <w:bCs/>
                <w:sz w:val="20"/>
                <w:szCs w:val="20"/>
              </w:rPr>
              <w:t>Basic</w:t>
            </w:r>
          </w:p>
        </w:tc>
        <w:tc>
          <w:tcPr>
            <w:tcW w:w="1530" w:type="dxa"/>
            <w:tcBorders>
              <w:top w:val="single" w:sz="4" w:space="0" w:color="auto"/>
              <w:left w:val="single" w:sz="4" w:space="0" w:color="auto"/>
              <w:bottom w:val="single" w:sz="4" w:space="0" w:color="auto"/>
              <w:right w:val="single" w:sz="4" w:space="0" w:color="auto"/>
            </w:tcBorders>
            <w:shd w:val="clear" w:color="000000" w:fill="FFFFFF"/>
            <w:hideMark/>
          </w:tcPr>
          <w:p w:rsidR="00EA2419" w:rsidRPr="00EA2419" w:rsidRDefault="00EA2419" w:rsidP="0085772F">
            <w:pPr>
              <w:spacing w:after="0" w:line="240" w:lineRule="auto"/>
              <w:rPr>
                <w:rFonts w:eastAsia="Times New Roman" w:cs="Calibri"/>
                <w:bCs/>
                <w:sz w:val="20"/>
                <w:szCs w:val="20"/>
              </w:rPr>
            </w:pPr>
            <w:r w:rsidRPr="00EA2419">
              <w:rPr>
                <w:rFonts w:eastAsia="Times New Roman" w:cs="Calibri"/>
                <w:bCs/>
                <w:sz w:val="20"/>
                <w:szCs w:val="20"/>
              </w:rPr>
              <w:t>Supplemental</w:t>
            </w:r>
          </w:p>
        </w:tc>
      </w:tr>
      <w:tr w:rsidR="00EA2419" w:rsidRPr="00EA2419" w:rsidTr="006C4F95">
        <w:trPr>
          <w:cantSplit/>
          <w:trHeight w:val="600"/>
        </w:trPr>
        <w:tc>
          <w:tcPr>
            <w:tcW w:w="1890" w:type="dxa"/>
            <w:tcBorders>
              <w:top w:val="single" w:sz="4" w:space="0" w:color="auto"/>
              <w:left w:val="single" w:sz="4" w:space="0" w:color="auto"/>
              <w:bottom w:val="single" w:sz="4" w:space="0" w:color="auto"/>
              <w:right w:val="single" w:sz="4" w:space="0" w:color="auto"/>
            </w:tcBorders>
            <w:shd w:val="clear" w:color="000000" w:fill="FFFFFF"/>
            <w:hideMark/>
          </w:tcPr>
          <w:p w:rsidR="00EA2419" w:rsidRPr="00EA2419" w:rsidRDefault="00EA2419" w:rsidP="00EA2419">
            <w:pPr>
              <w:spacing w:after="0" w:line="240" w:lineRule="auto"/>
              <w:rPr>
                <w:rFonts w:eastAsia="Times New Roman" w:cs="Calibri"/>
                <w:bCs/>
                <w:sz w:val="20"/>
                <w:szCs w:val="20"/>
              </w:rPr>
            </w:pPr>
            <w:r w:rsidRPr="00EA2419">
              <w:rPr>
                <w:rFonts w:eastAsia="Times New Roman" w:cs="Calibri"/>
                <w:bCs/>
                <w:sz w:val="20"/>
                <w:szCs w:val="20"/>
              </w:rPr>
              <w:t>Word Reading Subtest of the Wide Range Achievement Test (WRAT-4)</w:t>
            </w:r>
          </w:p>
        </w:tc>
        <w:tc>
          <w:tcPr>
            <w:tcW w:w="1170" w:type="dxa"/>
            <w:tcBorders>
              <w:top w:val="single" w:sz="4" w:space="0" w:color="auto"/>
              <w:left w:val="nil"/>
              <w:bottom w:val="single" w:sz="4" w:space="0" w:color="auto"/>
              <w:right w:val="single" w:sz="4" w:space="0" w:color="auto"/>
            </w:tcBorders>
            <w:shd w:val="clear" w:color="000000" w:fill="FFFFFF"/>
            <w:hideMark/>
          </w:tcPr>
          <w:p w:rsidR="00EA2419" w:rsidRPr="00EA2419" w:rsidRDefault="00EA2419" w:rsidP="00EA2419">
            <w:pPr>
              <w:spacing w:after="0" w:line="240" w:lineRule="auto"/>
              <w:rPr>
                <w:rFonts w:eastAsia="Times New Roman" w:cs="Calibri"/>
                <w:bCs/>
                <w:sz w:val="20"/>
                <w:szCs w:val="20"/>
              </w:rPr>
            </w:pPr>
            <w:r w:rsidRPr="00EA2419">
              <w:rPr>
                <w:rFonts w:eastAsia="Times New Roman" w:cs="Calibri"/>
                <w:bCs/>
                <w:sz w:val="20"/>
                <w:szCs w:val="20"/>
              </w:rPr>
              <w:t>Adult TBI</w:t>
            </w:r>
          </w:p>
        </w:tc>
        <w:tc>
          <w:tcPr>
            <w:tcW w:w="1530" w:type="dxa"/>
            <w:tcBorders>
              <w:top w:val="single" w:sz="4" w:space="0" w:color="auto"/>
              <w:left w:val="nil"/>
              <w:bottom w:val="single" w:sz="4" w:space="0" w:color="auto"/>
              <w:right w:val="single" w:sz="4" w:space="0" w:color="auto"/>
            </w:tcBorders>
            <w:shd w:val="clear" w:color="000000" w:fill="FFFFFF"/>
            <w:hideMark/>
          </w:tcPr>
          <w:p w:rsidR="00EA2419" w:rsidRPr="00EA2419" w:rsidRDefault="00EA2419" w:rsidP="00EA2419">
            <w:pPr>
              <w:spacing w:after="0" w:line="240" w:lineRule="auto"/>
              <w:rPr>
                <w:rFonts w:eastAsia="Times New Roman" w:cs="Calibri"/>
                <w:bCs/>
                <w:sz w:val="20"/>
                <w:szCs w:val="20"/>
              </w:rPr>
            </w:pPr>
            <w:r w:rsidRPr="00EA2419">
              <w:rPr>
                <w:rFonts w:eastAsia="Times New Roman" w:cs="Calibri"/>
                <w:bCs/>
                <w:sz w:val="20"/>
                <w:szCs w:val="20"/>
              </w:rPr>
              <w:t>Supplemental</w:t>
            </w:r>
          </w:p>
        </w:tc>
        <w:tc>
          <w:tcPr>
            <w:tcW w:w="1530" w:type="dxa"/>
            <w:tcBorders>
              <w:top w:val="single" w:sz="4" w:space="0" w:color="auto"/>
              <w:left w:val="nil"/>
              <w:bottom w:val="single" w:sz="4" w:space="0" w:color="auto"/>
              <w:right w:val="single" w:sz="4" w:space="0" w:color="auto"/>
            </w:tcBorders>
            <w:shd w:val="clear" w:color="000000" w:fill="FFFFFF"/>
            <w:hideMark/>
          </w:tcPr>
          <w:p w:rsidR="00EA2419" w:rsidRPr="00EA2419" w:rsidRDefault="00EA2419" w:rsidP="00EA2419">
            <w:pPr>
              <w:spacing w:after="0" w:line="240" w:lineRule="auto"/>
              <w:rPr>
                <w:rFonts w:eastAsia="Times New Roman" w:cs="Calibri"/>
                <w:bCs/>
                <w:sz w:val="20"/>
                <w:szCs w:val="20"/>
              </w:rPr>
            </w:pPr>
            <w:r w:rsidRPr="00EA2419">
              <w:rPr>
                <w:rFonts w:eastAsia="Times New Roman" w:cs="Calibri"/>
                <w:bCs/>
                <w:sz w:val="20"/>
                <w:szCs w:val="20"/>
              </w:rPr>
              <w:t>Supplemental</w:t>
            </w:r>
          </w:p>
        </w:tc>
        <w:tc>
          <w:tcPr>
            <w:tcW w:w="1530" w:type="dxa"/>
            <w:tcBorders>
              <w:top w:val="single" w:sz="4" w:space="0" w:color="auto"/>
              <w:left w:val="nil"/>
              <w:bottom w:val="single" w:sz="4" w:space="0" w:color="auto"/>
              <w:right w:val="single" w:sz="4" w:space="0" w:color="auto"/>
            </w:tcBorders>
            <w:shd w:val="clear" w:color="000000" w:fill="FFFFFF"/>
          </w:tcPr>
          <w:p w:rsidR="00EA2419" w:rsidRPr="00EA2419" w:rsidRDefault="00EA2419" w:rsidP="00EA2419">
            <w:pPr>
              <w:spacing w:after="0" w:line="240" w:lineRule="auto"/>
              <w:rPr>
                <w:rFonts w:eastAsia="Times New Roman" w:cs="Calibri"/>
                <w:bCs/>
                <w:sz w:val="20"/>
                <w:szCs w:val="20"/>
              </w:rPr>
            </w:pPr>
            <w:r w:rsidRPr="00EA2419">
              <w:rPr>
                <w:rFonts w:eastAsia="Times New Roman" w:cs="Calibri"/>
                <w:bCs/>
                <w:sz w:val="20"/>
                <w:szCs w:val="20"/>
              </w:rPr>
              <w:t>Supplemental</w:t>
            </w:r>
          </w:p>
        </w:tc>
        <w:tc>
          <w:tcPr>
            <w:tcW w:w="1530" w:type="dxa"/>
            <w:tcBorders>
              <w:top w:val="single" w:sz="4" w:space="0" w:color="auto"/>
              <w:left w:val="single" w:sz="4" w:space="0" w:color="auto"/>
              <w:bottom w:val="single" w:sz="4" w:space="0" w:color="auto"/>
              <w:right w:val="single" w:sz="4" w:space="0" w:color="auto"/>
            </w:tcBorders>
            <w:shd w:val="clear" w:color="000000" w:fill="FFFFFF"/>
            <w:hideMark/>
          </w:tcPr>
          <w:p w:rsidR="00EA2419" w:rsidRPr="00EA2419" w:rsidRDefault="00EA2419" w:rsidP="00EA2419">
            <w:pPr>
              <w:spacing w:after="0" w:line="240" w:lineRule="auto"/>
              <w:rPr>
                <w:rFonts w:eastAsia="Times New Roman" w:cs="Calibri"/>
                <w:bCs/>
                <w:sz w:val="20"/>
                <w:szCs w:val="20"/>
              </w:rPr>
            </w:pPr>
            <w:r w:rsidRPr="00EA2419">
              <w:rPr>
                <w:rFonts w:eastAsia="Times New Roman" w:cs="Calibri"/>
                <w:bCs/>
                <w:sz w:val="20"/>
                <w:szCs w:val="20"/>
              </w:rPr>
              <w:t>Supplemental</w:t>
            </w:r>
          </w:p>
        </w:tc>
      </w:tr>
    </w:tbl>
    <w:p w:rsidR="00EA2419" w:rsidRPr="00C7233D" w:rsidRDefault="00EA2419" w:rsidP="00C7233D">
      <w:pPr>
        <w:pStyle w:val="Heading3"/>
      </w:pPr>
      <w:r w:rsidRPr="00C7233D">
        <w:t>References</w:t>
      </w:r>
    </w:p>
    <w:p w:rsidR="00EA2419" w:rsidRDefault="00EA2419" w:rsidP="00EA2419">
      <w:pPr>
        <w:rPr>
          <w:rFonts w:cs="Calibri"/>
        </w:rPr>
      </w:pPr>
      <w:r w:rsidRPr="005463F4">
        <w:rPr>
          <w:rFonts w:cs="Calibri"/>
        </w:rPr>
        <w:t>McCauley SR, Wilde EA, Anderson VA, Bedell G, Beers SR, Campbell TF, Chapman SB, Ewing-Cobbs L, Gerring JP, Gioia GA, Levin HS, Michaud LJ, Prasad MR, Swaine BR, Turkstra LS, Wade SL, Yeates KO. Recommendations for the Use of Common Outcome Measures in Pediatric Traumatic Brain Injury Research. J Neurotrauma. 2012 March; 29: 678-705. PubMed PMID: 21644810.</w:t>
      </w:r>
    </w:p>
    <w:p w:rsidR="00EA2419" w:rsidRPr="006D07FA" w:rsidRDefault="00EA2419" w:rsidP="002D0525">
      <w:r w:rsidRPr="004233FE">
        <w:t>Wilde EA, Whiteneck GG, Bogner J, Bushnik T, Cifu DX, Dikmen S, French L, Giacino JT, Hart T, Malec JF, Millis SR, Novack TA, Sherer M, Tulsky DS, Vanderploeg RD, von Steinbuechel N. Recommendations for the use of common outcome measures in traumatic brain injury research. Arch Phys Med Rehabil. 2010 Nov;91(11):1650-1660.e17. [DOI: 10.1016/j.apmr.2010.06.033]</w:t>
      </w:r>
    </w:p>
    <w:p w:rsidR="004B766F" w:rsidRPr="006C4F95" w:rsidRDefault="00EA2419" w:rsidP="002D0525">
      <w:pPr>
        <w:pStyle w:val="Heading2"/>
      </w:pPr>
      <w:bookmarkStart w:id="1" w:name="_GoBack"/>
      <w:bookmarkEnd w:id="1"/>
      <w:r w:rsidRPr="007A5EB3">
        <w:rPr>
          <w:i/>
        </w:rPr>
        <w:br w:type="page"/>
      </w:r>
      <w:r w:rsidR="004B766F" w:rsidRPr="006C4F95">
        <w:lastRenderedPageBreak/>
        <w:t>Automated Neuropsychol</w:t>
      </w:r>
      <w:r w:rsidR="0085772F" w:rsidRPr="006C4F95">
        <w:t>ogical Assessment Metrics (ANAM</w:t>
      </w:r>
      <w:r w:rsidR="004B766F" w:rsidRPr="006C4F95">
        <w:t xml:space="preserve">) </w:t>
      </w:r>
    </w:p>
    <w:p w:rsidR="004B766F" w:rsidRPr="00791660" w:rsidRDefault="004B766F" w:rsidP="00C7233D">
      <w:pPr>
        <w:pStyle w:val="Heading3"/>
      </w:pPr>
      <w:r w:rsidRPr="00791660">
        <w:t>DESCRIPTION:</w:t>
      </w:r>
    </w:p>
    <w:p w:rsidR="004B766F" w:rsidRPr="00791660" w:rsidRDefault="004B766F" w:rsidP="004B766F">
      <w:pPr>
        <w:rPr>
          <w:rFonts w:cs="Calibri"/>
        </w:rPr>
      </w:pPr>
      <w:r w:rsidRPr="00791660">
        <w:rPr>
          <w:rFonts w:cs="Calibri"/>
        </w:rPr>
        <w:t xml:space="preserve">Automated Neuropsychological Assessment Metrics (ANAM) is a computer-based neurocognitive assessment tool developed specifically for use in the military. United States service members must complete the ANAM within 12 months prior to deployment for a baseline record of the following aspects of neurocognitive function: speed and accuracy of attention, memory, and thinking ability. The TBI battery tests simple reaction time, code substitution, code substitution delayed, matching to sample, procedural reaction time, and mathematical processing and includes a sleepiness scale and a mood scale. If an injury is sustained during deployment, the test is repeated to measure changes in neurocognitive function. </w:t>
      </w:r>
    </w:p>
    <w:p w:rsidR="004B766F" w:rsidRPr="00791660" w:rsidRDefault="004B766F" w:rsidP="00C7233D">
      <w:pPr>
        <w:pStyle w:val="Heading3"/>
      </w:pPr>
      <w:r w:rsidRPr="00791660">
        <w:t>PERMISSIBLE VALUES:</w:t>
      </w:r>
    </w:p>
    <w:p w:rsidR="004B766F" w:rsidRPr="00791660" w:rsidRDefault="004B766F" w:rsidP="004B766F">
      <w:pPr>
        <w:rPr>
          <w:rFonts w:cs="Calibri"/>
        </w:rPr>
      </w:pPr>
      <w:r w:rsidRPr="00791660">
        <w:rPr>
          <w:rFonts w:cs="Calibri"/>
        </w:rPr>
        <w:t xml:space="preserve">Sleepiness Scale: Participant selects from 7 stages of alertness, from “Feeling very alert, wide awake, and energetic” to </w:t>
      </w:r>
      <w:r w:rsidR="009C429E" w:rsidRPr="00791660">
        <w:rPr>
          <w:rFonts w:cs="Calibri"/>
        </w:rPr>
        <w:t>“Very</w:t>
      </w:r>
      <w:r w:rsidRPr="00791660">
        <w:rPr>
          <w:rFonts w:cs="Calibri"/>
        </w:rPr>
        <w:t xml:space="preserve"> sleepy and cannot stay awake much longer</w:t>
      </w:r>
      <w:r w:rsidR="00AD54D0" w:rsidRPr="00791660">
        <w:rPr>
          <w:rFonts w:cs="Calibri"/>
        </w:rPr>
        <w:t>.”</w:t>
      </w:r>
    </w:p>
    <w:p w:rsidR="004B766F" w:rsidRPr="00791660" w:rsidRDefault="004B766F" w:rsidP="004B766F">
      <w:pPr>
        <w:rPr>
          <w:rFonts w:cs="Calibri"/>
        </w:rPr>
      </w:pPr>
      <w:r w:rsidRPr="00791660">
        <w:rPr>
          <w:rFonts w:cs="Calibri"/>
        </w:rPr>
        <w:t>Mood Scale: Participant indicates on a scale of 0 to 6 the their current state for each of Vigor, Happiness, Depression, Anger, Fatigue, Anxiety, and Restlessness with “ 0 ” as “ Not at all ” to “ 6 ” as “ Very Much. ”</w:t>
      </w:r>
    </w:p>
    <w:p w:rsidR="004B766F" w:rsidRPr="00791660" w:rsidRDefault="004B766F" w:rsidP="004B766F">
      <w:pPr>
        <w:rPr>
          <w:rFonts w:cs="Calibri"/>
        </w:rPr>
      </w:pPr>
      <w:r w:rsidRPr="00791660">
        <w:rPr>
          <w:rFonts w:cs="Calibri"/>
        </w:rPr>
        <w:t xml:space="preserve">Simple reaction time: Reaction time is captured for 40 trials </w:t>
      </w:r>
    </w:p>
    <w:p w:rsidR="004B766F" w:rsidRPr="00791660" w:rsidRDefault="004B766F" w:rsidP="004B766F">
      <w:pPr>
        <w:rPr>
          <w:rFonts w:cs="Calibri"/>
        </w:rPr>
      </w:pPr>
      <w:r w:rsidRPr="00791660">
        <w:rPr>
          <w:rFonts w:cs="Calibri"/>
        </w:rPr>
        <w:t xml:space="preserve">Code substitution: Number of correct response to code substitution out of 72 trials </w:t>
      </w:r>
    </w:p>
    <w:p w:rsidR="004B766F" w:rsidRPr="00791660" w:rsidRDefault="004B766F" w:rsidP="004B766F">
      <w:pPr>
        <w:rPr>
          <w:rFonts w:cs="Calibri"/>
        </w:rPr>
      </w:pPr>
      <w:r w:rsidRPr="00791660">
        <w:rPr>
          <w:rFonts w:cs="Calibri"/>
        </w:rPr>
        <w:t>Procedural reaction time: Reaction time and processing efficiency measured for 32 trials</w:t>
      </w:r>
    </w:p>
    <w:p w:rsidR="004B766F" w:rsidRPr="00791660" w:rsidRDefault="004B766F" w:rsidP="004B766F">
      <w:pPr>
        <w:rPr>
          <w:rFonts w:cs="Calibri"/>
        </w:rPr>
      </w:pPr>
      <w:r w:rsidRPr="00791660">
        <w:rPr>
          <w:rFonts w:cs="Calibri"/>
        </w:rPr>
        <w:t xml:space="preserve">Mathematical processing: Number of correct responses out of 20 trials </w:t>
      </w:r>
    </w:p>
    <w:p w:rsidR="004B766F" w:rsidRPr="00791660" w:rsidRDefault="004B766F" w:rsidP="004B766F">
      <w:pPr>
        <w:rPr>
          <w:rFonts w:cs="Calibri"/>
        </w:rPr>
      </w:pPr>
      <w:r w:rsidRPr="00791660">
        <w:rPr>
          <w:rFonts w:cs="Calibri"/>
        </w:rPr>
        <w:t xml:space="preserve">Matching to sample: Number of correct responses in 20 trials </w:t>
      </w:r>
    </w:p>
    <w:p w:rsidR="004B766F" w:rsidRPr="00791660" w:rsidRDefault="004B766F" w:rsidP="004B766F">
      <w:pPr>
        <w:rPr>
          <w:rFonts w:cs="Calibri"/>
        </w:rPr>
      </w:pPr>
      <w:r w:rsidRPr="00791660">
        <w:rPr>
          <w:rFonts w:cs="Calibri"/>
        </w:rPr>
        <w:t>Code substitution delayed: Number of correct response to code substitution out of 36 trials</w:t>
      </w:r>
    </w:p>
    <w:p w:rsidR="004B766F" w:rsidRPr="00791660" w:rsidRDefault="004B766F" w:rsidP="00C7233D">
      <w:pPr>
        <w:pStyle w:val="Heading3"/>
      </w:pPr>
      <w:r w:rsidRPr="00791660">
        <w:t xml:space="preserve">PROCEDURE: </w:t>
      </w:r>
    </w:p>
    <w:p w:rsidR="004B766F" w:rsidRPr="00791660" w:rsidRDefault="004B766F" w:rsidP="004B766F">
      <w:pPr>
        <w:rPr>
          <w:rFonts w:cs="Calibri"/>
        </w:rPr>
      </w:pPr>
      <w:r w:rsidRPr="00791660">
        <w:rPr>
          <w:rFonts w:cs="Calibri"/>
        </w:rPr>
        <w:t>It takes 15-20 minutes to complete the computer-based TBI battery of the ANAM. A baseline test must be completed before deployment and a repeat test may be completed if there is suspicion of TBI.</w:t>
      </w:r>
    </w:p>
    <w:p w:rsidR="003D1E85" w:rsidRPr="00791660" w:rsidRDefault="003D1E85" w:rsidP="00C7233D">
      <w:pPr>
        <w:pStyle w:val="Heading3"/>
      </w:pPr>
      <w:r w:rsidRPr="00791660">
        <w:t>COMMENTS:</w:t>
      </w:r>
    </w:p>
    <w:p w:rsidR="003D1E85" w:rsidRPr="00791660" w:rsidRDefault="003D1E85" w:rsidP="003D1E85">
      <w:pPr>
        <w:rPr>
          <w:rFonts w:cs="Calibri"/>
        </w:rPr>
      </w:pPr>
      <w:r w:rsidRPr="00791660">
        <w:rPr>
          <w:rFonts w:cs="Calibri"/>
        </w:rPr>
        <w:t>The tool is appropriate for military populations. It does not screen for TBI but may be used to compare neurocognitive performance pre-deployment and post-injury.</w:t>
      </w:r>
    </w:p>
    <w:p w:rsidR="003D1E85" w:rsidRPr="00791660" w:rsidRDefault="003D1E85" w:rsidP="00C7233D">
      <w:pPr>
        <w:pStyle w:val="Heading3"/>
      </w:pPr>
      <w:r w:rsidRPr="00791660">
        <w:t>RATIONALE:</w:t>
      </w:r>
    </w:p>
    <w:p w:rsidR="003D1E85" w:rsidRPr="00791660" w:rsidRDefault="003D1E85" w:rsidP="003D1E85">
      <w:pPr>
        <w:rPr>
          <w:rFonts w:cs="Calibri"/>
        </w:rPr>
      </w:pPr>
      <w:r w:rsidRPr="00791660">
        <w:rPr>
          <w:rFonts w:cs="Calibri"/>
        </w:rPr>
        <w:t>The ANAM is currently required for use in U.S. military populations and normative data in the military have been established.</w:t>
      </w:r>
    </w:p>
    <w:p w:rsidR="003D1E85" w:rsidRPr="00791660" w:rsidRDefault="003D1E85" w:rsidP="00C7233D">
      <w:pPr>
        <w:pStyle w:val="Heading3"/>
      </w:pPr>
      <w:r w:rsidRPr="00791660">
        <w:lastRenderedPageBreak/>
        <w:t>REFERENCES:</w:t>
      </w:r>
    </w:p>
    <w:p w:rsidR="003D1E85" w:rsidRPr="00791660" w:rsidRDefault="003D1E85" w:rsidP="003D1E85">
      <w:pPr>
        <w:rPr>
          <w:rFonts w:cs="Calibri"/>
        </w:rPr>
      </w:pPr>
      <w:r w:rsidRPr="00791660">
        <w:rPr>
          <w:rFonts w:cs="Calibri"/>
        </w:rPr>
        <w:t>Automated Neuropsychological Assessment Metrics , 4 ed . Norman, OK : C-SHOP ; 2007 .</w:t>
      </w:r>
    </w:p>
    <w:p w:rsidR="003D1E85" w:rsidRPr="00791660" w:rsidRDefault="003D1E85" w:rsidP="003D1E85">
      <w:pPr>
        <w:rPr>
          <w:rFonts w:cs="Calibri"/>
        </w:rPr>
      </w:pPr>
      <w:r w:rsidRPr="00791660">
        <w:rPr>
          <w:rFonts w:cs="Calibri"/>
        </w:rPr>
        <w:t xml:space="preserve">Bleiberg J, Cernich A, Cameron K, Sun W, Peck K, Ecklund J, et al; Duration of cognitive impairment after sports concussion. Neurosurgery 2004; 54; 1073-8. </w:t>
      </w:r>
    </w:p>
    <w:p w:rsidR="003D1E85" w:rsidRPr="00791660" w:rsidRDefault="003D1E85" w:rsidP="003D1E85">
      <w:pPr>
        <w:rPr>
          <w:rFonts w:cs="Calibri"/>
        </w:rPr>
      </w:pPr>
      <w:r w:rsidRPr="00791660">
        <w:rPr>
          <w:rFonts w:cs="Calibri"/>
        </w:rPr>
        <w:t>Friedl KE, Grate SJ, Proctor SP, Ness JW, Lukey BJ, Kane RL; Army research needs for automated  neuropsychological tests; Monitoring soldier health and performance status. Arch Clin Neuropsychol 2007; 22(Suppl 1); S7-14.</w:t>
      </w:r>
    </w:p>
    <w:p w:rsidR="003D1E85" w:rsidRPr="00791660" w:rsidRDefault="003D1E85" w:rsidP="003D1E85">
      <w:pPr>
        <w:rPr>
          <w:rFonts w:cs="Calibri"/>
        </w:rPr>
      </w:pPr>
      <w:r w:rsidRPr="00791660">
        <w:rPr>
          <w:rFonts w:cs="Calibri"/>
        </w:rPr>
        <w:t>National Defense Authorization Act for Fiscal Year 2008, Public Law 110-181. HR 1585, Sect. 1618, 110th Congress (2008)</w:t>
      </w:r>
    </w:p>
    <w:p w:rsidR="003D1E85" w:rsidRPr="00791660" w:rsidRDefault="003D1E85" w:rsidP="003D1E85">
      <w:pPr>
        <w:rPr>
          <w:rFonts w:cs="Calibri"/>
        </w:rPr>
      </w:pPr>
      <w:r w:rsidRPr="00791660">
        <w:rPr>
          <w:rFonts w:cs="Calibri"/>
        </w:rPr>
        <w:t>Reeves DL, Winter KP, Bleiberg J, Kane RL . ANAM genogram: historical perspectives, description, and current endeavors . Arch Clin Neuropsychol 2007 ; 22 ( Suppl. 1 ): S15 – 37 .</w:t>
      </w:r>
    </w:p>
    <w:p w:rsidR="003D1E85" w:rsidRPr="00791660" w:rsidRDefault="003D1E85" w:rsidP="003D1E85">
      <w:pPr>
        <w:rPr>
          <w:rFonts w:cs="Calibri"/>
        </w:rPr>
      </w:pPr>
      <w:r w:rsidRPr="00791660">
        <w:rPr>
          <w:rFonts w:cs="Calibri"/>
        </w:rPr>
        <w:t>Vincent AS, Roebuck-Spencer T, Gilliland K, Schlegel R. Automated neuropsychological assessment metrics (v4) traumatic brain injury battery: military normative data. Mil Med. 2012 Mar;177(3):256-69.</w:t>
      </w:r>
    </w:p>
    <w:p w:rsidR="003D1E85" w:rsidRPr="00791660" w:rsidRDefault="003D1E85" w:rsidP="003D1E85">
      <w:pPr>
        <w:rPr>
          <w:rFonts w:cs="Calibri"/>
        </w:rPr>
      </w:pPr>
      <w:r w:rsidRPr="00791660">
        <w:rPr>
          <w:rFonts w:cs="Calibri"/>
        </w:rPr>
        <w:t>Warden DL, Bleiberg J, Cameron KL, Ecklund J, Walter J, Sparling MB, et al; Persistent prolongation of simple reaction time in sports concussion. Neurology 2001; 57; 524-6.</w:t>
      </w:r>
    </w:p>
    <w:p w:rsidR="0085772F" w:rsidRPr="00791660" w:rsidRDefault="0085772F" w:rsidP="006C4F95">
      <w:pPr>
        <w:pStyle w:val="Heading2"/>
      </w:pPr>
      <w:r w:rsidRPr="00791660">
        <w:br w:type="page"/>
      </w:r>
      <w:r w:rsidRPr="00791660">
        <w:lastRenderedPageBreak/>
        <w:t xml:space="preserve">Beery-Buktenica Developmental Test of Visual-Motor Integration, 6th edition (Beery VMI) </w:t>
      </w:r>
    </w:p>
    <w:p w:rsidR="0085772F" w:rsidRPr="00791660" w:rsidRDefault="0085772F" w:rsidP="00C7233D">
      <w:pPr>
        <w:pStyle w:val="Heading3"/>
      </w:pPr>
      <w:r w:rsidRPr="00791660">
        <w:t>DESCRIPTION:</w:t>
      </w:r>
    </w:p>
    <w:p w:rsidR="00373541" w:rsidRPr="00373541" w:rsidRDefault="009C429E" w:rsidP="0085772F">
      <w:pPr>
        <w:rPr>
          <w:rFonts w:cs="Calibri"/>
        </w:rPr>
      </w:pPr>
      <w:r w:rsidRPr="00373541">
        <w:rPr>
          <w:rFonts w:cs="Calibri"/>
        </w:rPr>
        <w:t>The Beery™ VMI</w:t>
      </w:r>
      <w:r w:rsidR="00373541">
        <w:rPr>
          <w:rFonts w:cs="Calibri"/>
        </w:rPr>
        <w:t xml:space="preserve"> is a nonverbal assessment that</w:t>
      </w:r>
      <w:r w:rsidRPr="00373541">
        <w:rPr>
          <w:rFonts w:cs="Calibri"/>
        </w:rPr>
        <w:t xml:space="preserve"> </w:t>
      </w:r>
      <w:r w:rsidR="00373541" w:rsidRPr="00373541">
        <w:rPr>
          <w:rFonts w:cs="Calibri"/>
        </w:rPr>
        <w:t>tests for visual-motor deficits</w:t>
      </w:r>
      <w:r w:rsidR="00373541">
        <w:rPr>
          <w:rFonts w:cs="Calibri"/>
        </w:rPr>
        <w:t xml:space="preserve"> by having subjects copy geometric figures. This tests the subject’s </w:t>
      </w:r>
      <w:r w:rsidR="00373541" w:rsidRPr="00373541">
        <w:rPr>
          <w:lang w:val="en"/>
        </w:rPr>
        <w:t>gross motor, fine motor, visual, and visual-fine motor development.</w:t>
      </w:r>
      <w:r w:rsidR="00373541">
        <w:rPr>
          <w:lang w:val="en"/>
        </w:rPr>
        <w:t xml:space="preserve"> The test contains normative data for children as young as 2 years and adults. There is a short version and a full version of the test, with the short version often used for children ages 2 to 8 years.</w:t>
      </w:r>
    </w:p>
    <w:p w:rsidR="0085772F" w:rsidRPr="00791660" w:rsidRDefault="0085772F" w:rsidP="00C7233D">
      <w:pPr>
        <w:pStyle w:val="Heading3"/>
      </w:pPr>
      <w:r w:rsidRPr="00791660">
        <w:t>PERMISSIBLE VALUES:</w:t>
      </w:r>
    </w:p>
    <w:p w:rsidR="009C429E" w:rsidRPr="00791660" w:rsidRDefault="009C429E" w:rsidP="0085772F">
      <w:pPr>
        <w:rPr>
          <w:rFonts w:cs="Calibri"/>
        </w:rPr>
      </w:pPr>
      <w:r w:rsidRPr="00791660">
        <w:rPr>
          <w:rFonts w:cs="Calibri"/>
        </w:rPr>
        <w:t>Standard scores (M=100, SD=15) and scaled scores (M=10, SD=3), percentiles, and age equivalents are given.</w:t>
      </w:r>
    </w:p>
    <w:p w:rsidR="0085772F" w:rsidRPr="00791660" w:rsidRDefault="0085772F" w:rsidP="00C7233D">
      <w:pPr>
        <w:pStyle w:val="Heading3"/>
      </w:pPr>
      <w:r w:rsidRPr="00791660">
        <w:t>PROCEDURE:</w:t>
      </w:r>
    </w:p>
    <w:p w:rsidR="00373541" w:rsidRDefault="009C429E" w:rsidP="0085772F">
      <w:pPr>
        <w:rPr>
          <w:rFonts w:cs="Calibri"/>
        </w:rPr>
      </w:pPr>
      <w:r w:rsidRPr="00791660">
        <w:rPr>
          <w:rFonts w:cs="Calibri"/>
        </w:rPr>
        <w:t>The test can be administered individually or to groups and is paper and pencil format.  Individual administration is recommended for the supplemental tests. The Short Format and Full Format tests each take 10–15 minutes. The supplemental Visual Perception and Motor Coordinat</w:t>
      </w:r>
      <w:r w:rsidR="00C7233D">
        <w:rPr>
          <w:rFonts w:cs="Calibri"/>
        </w:rPr>
        <w:t xml:space="preserve">ion tests take 5 minutes each. </w:t>
      </w:r>
    </w:p>
    <w:p w:rsidR="0085772F" w:rsidRPr="00791660" w:rsidRDefault="0085772F" w:rsidP="00C7233D">
      <w:pPr>
        <w:pStyle w:val="Heading3"/>
      </w:pPr>
      <w:r w:rsidRPr="00791660">
        <w:t>COMMENTS:</w:t>
      </w:r>
    </w:p>
    <w:p w:rsidR="009C429E" w:rsidRPr="00791660" w:rsidRDefault="009C429E" w:rsidP="0085772F">
      <w:pPr>
        <w:rPr>
          <w:rFonts w:cs="Calibri"/>
        </w:rPr>
      </w:pPr>
      <w:r w:rsidRPr="00791660">
        <w:rPr>
          <w:rFonts w:cs="Calibri"/>
        </w:rPr>
        <w:t>The test is appropriate for ages 2 and up.</w:t>
      </w:r>
    </w:p>
    <w:p w:rsidR="0085772F" w:rsidRPr="00791660" w:rsidRDefault="0085772F" w:rsidP="0085772F">
      <w:pPr>
        <w:rPr>
          <w:rFonts w:cs="Calibri"/>
          <w:b/>
        </w:rPr>
      </w:pPr>
      <w:r w:rsidRPr="00791660">
        <w:rPr>
          <w:rFonts w:cs="Calibri"/>
          <w:b/>
        </w:rPr>
        <w:t>REFERENCES:</w:t>
      </w:r>
    </w:p>
    <w:p w:rsidR="00C7233D" w:rsidRDefault="00C7233D" w:rsidP="00C7233D">
      <w:r w:rsidRPr="00C7233D">
        <w:t>Beery, K., Buktenica, N., and Beery, N. (2010). Beery-Buktenica Developmental Test of Visual- Motor Integration (Sixth ed.). Pearson Assessments: San Antonio, TX.</w:t>
      </w:r>
    </w:p>
    <w:p w:rsidR="0085772F" w:rsidRPr="00791660" w:rsidRDefault="0085772F" w:rsidP="00C7233D">
      <w:pPr>
        <w:rPr>
          <w:b/>
        </w:rPr>
      </w:pPr>
      <w:r w:rsidRPr="00791660">
        <w:br w:type="page"/>
      </w:r>
      <w:r w:rsidRPr="00791660">
        <w:rPr>
          <w:b/>
        </w:rPr>
        <w:lastRenderedPageBreak/>
        <w:t>Behavi</w:t>
      </w:r>
      <w:r w:rsidR="00C40402">
        <w:rPr>
          <w:b/>
        </w:rPr>
        <w:t>or</w:t>
      </w:r>
      <w:r w:rsidRPr="00791660">
        <w:rPr>
          <w:b/>
        </w:rPr>
        <w:t xml:space="preserve"> Rating Inventory of Executive Function (BRIEF)</w:t>
      </w:r>
    </w:p>
    <w:p w:rsidR="0085772F" w:rsidRPr="00150BFC" w:rsidRDefault="0085772F" w:rsidP="00C7233D">
      <w:pPr>
        <w:pStyle w:val="Heading3"/>
      </w:pPr>
      <w:r w:rsidRPr="00150BFC">
        <w:t>DESCRIPTION:</w:t>
      </w:r>
    </w:p>
    <w:p w:rsidR="00C40402" w:rsidRPr="00150BFC" w:rsidRDefault="00C40402" w:rsidP="0085772F">
      <w:pPr>
        <w:rPr>
          <w:rFonts w:cs="Calibri"/>
        </w:rPr>
      </w:pPr>
      <w:r w:rsidRPr="00150BFC">
        <w:rPr>
          <w:rFonts w:cs="Calibri"/>
        </w:rPr>
        <w:t xml:space="preserve">The BRIEF is </w:t>
      </w:r>
      <w:r w:rsidR="00150BFC" w:rsidRPr="00150BFC">
        <w:rPr>
          <w:rFonts w:cs="Calibri"/>
        </w:rPr>
        <w:t>assesses</w:t>
      </w:r>
      <w:r w:rsidRPr="00150BFC">
        <w:rPr>
          <w:rFonts w:cs="Calibri"/>
        </w:rPr>
        <w:t xml:space="preserve"> executive functions </w:t>
      </w:r>
      <w:r w:rsidR="00150BFC" w:rsidRPr="00150BFC">
        <w:rPr>
          <w:rFonts w:cs="Calibri"/>
        </w:rPr>
        <w:t>in children and adolescents. There are f</w:t>
      </w:r>
      <w:r w:rsidRPr="00150BFC">
        <w:rPr>
          <w:rFonts w:cs="Calibri"/>
        </w:rPr>
        <w:t>orms for parents and teachers</w:t>
      </w:r>
      <w:r w:rsidR="00150BFC" w:rsidRPr="00150BFC">
        <w:rPr>
          <w:rFonts w:cs="Calibri"/>
        </w:rPr>
        <w:t xml:space="preserve"> and a self-report form</w:t>
      </w:r>
      <w:r w:rsidRPr="00150BFC">
        <w:rPr>
          <w:rFonts w:cs="Calibri"/>
        </w:rPr>
        <w:t>.</w:t>
      </w:r>
      <w:r w:rsidR="00150BFC" w:rsidRPr="00150BFC">
        <w:rPr>
          <w:rFonts w:cs="Calibri"/>
        </w:rPr>
        <w:t xml:space="preserve"> Scores</w:t>
      </w:r>
      <w:r w:rsidRPr="00150BFC">
        <w:rPr>
          <w:rFonts w:cs="Calibri"/>
        </w:rPr>
        <w:t xml:space="preserve"> </w:t>
      </w:r>
      <w:r w:rsidR="00150BFC" w:rsidRPr="00150BFC">
        <w:rPr>
          <w:rFonts w:cs="Calibri"/>
        </w:rPr>
        <w:t xml:space="preserve">are computed for </w:t>
      </w:r>
      <w:r w:rsidRPr="00150BFC">
        <w:rPr>
          <w:rFonts w:cs="Calibri"/>
        </w:rPr>
        <w:t>Behavior</w:t>
      </w:r>
      <w:r w:rsidR="00150BFC" w:rsidRPr="00150BFC">
        <w:rPr>
          <w:rFonts w:cs="Calibri"/>
        </w:rPr>
        <w:t>al Regulation and Metacognition, as well as an overall Global Executive Composite score.</w:t>
      </w:r>
    </w:p>
    <w:p w:rsidR="0085772F" w:rsidRDefault="0085772F" w:rsidP="00C7233D">
      <w:pPr>
        <w:pStyle w:val="Heading3"/>
      </w:pPr>
      <w:r w:rsidRPr="00791660">
        <w:t>PERMISSIBLE VALUES:</w:t>
      </w:r>
    </w:p>
    <w:p w:rsidR="00C40402" w:rsidRPr="004B7D33" w:rsidRDefault="00C40402" w:rsidP="0085772F">
      <w:pPr>
        <w:rPr>
          <w:rFonts w:cs="Calibri"/>
        </w:rPr>
      </w:pPr>
      <w:r w:rsidRPr="004B7D33">
        <w:rPr>
          <w:rFonts w:cs="Calibri"/>
        </w:rPr>
        <w:t>T scores (M=50, SD=10), percentiles, and 90% confidence intervals are given for four developmental age groups by gender.</w:t>
      </w:r>
    </w:p>
    <w:p w:rsidR="0085772F" w:rsidRDefault="0085772F" w:rsidP="00C7233D">
      <w:pPr>
        <w:pStyle w:val="Heading3"/>
      </w:pPr>
      <w:r w:rsidRPr="00791660">
        <w:t>PROCEDURE:</w:t>
      </w:r>
    </w:p>
    <w:p w:rsidR="00C40402" w:rsidRPr="004B7D33" w:rsidRDefault="00C40402" w:rsidP="0085772F">
      <w:pPr>
        <w:rPr>
          <w:rFonts w:cs="Calibri"/>
        </w:rPr>
      </w:pPr>
      <w:r w:rsidRPr="004B7D33">
        <w:rPr>
          <w:rFonts w:cs="Calibri"/>
        </w:rPr>
        <w:t>The BRIEF ta</w:t>
      </w:r>
      <w:r w:rsidR="004B7D33">
        <w:rPr>
          <w:rFonts w:cs="Calibri"/>
        </w:rPr>
        <w:t>kes 10-15 minutes to administer.</w:t>
      </w:r>
    </w:p>
    <w:p w:rsidR="0085772F" w:rsidRDefault="0085772F" w:rsidP="00C7233D">
      <w:pPr>
        <w:pStyle w:val="Heading3"/>
      </w:pPr>
      <w:r w:rsidRPr="00791660">
        <w:t>COMMENTS:</w:t>
      </w:r>
    </w:p>
    <w:p w:rsidR="00C40402" w:rsidRPr="004B7D33" w:rsidRDefault="004B7D33" w:rsidP="0085772F">
      <w:pPr>
        <w:rPr>
          <w:rFonts w:cs="Calibri"/>
        </w:rPr>
      </w:pPr>
      <w:r w:rsidRPr="004B7D33">
        <w:rPr>
          <w:rFonts w:cs="Calibri"/>
        </w:rPr>
        <w:t xml:space="preserve">For children aged 5-18, with a </w:t>
      </w:r>
      <w:r w:rsidR="00AD54D0" w:rsidRPr="004B7D33">
        <w:rPr>
          <w:rFonts w:cs="Calibri"/>
        </w:rPr>
        <w:t>self-report</w:t>
      </w:r>
      <w:r w:rsidRPr="004B7D33">
        <w:rPr>
          <w:rFonts w:cs="Calibri"/>
        </w:rPr>
        <w:t xml:space="preserve"> form available for ages 11-22 years.</w:t>
      </w:r>
    </w:p>
    <w:p w:rsidR="0085772F" w:rsidRDefault="0085772F" w:rsidP="00C7233D">
      <w:pPr>
        <w:pStyle w:val="Heading3"/>
      </w:pPr>
      <w:r w:rsidRPr="00791660">
        <w:t>RATIONALE:</w:t>
      </w:r>
    </w:p>
    <w:p w:rsidR="00C40402" w:rsidRPr="004B7D33" w:rsidRDefault="004B7D33" w:rsidP="0085772F">
      <w:pPr>
        <w:rPr>
          <w:rFonts w:cs="Calibri"/>
        </w:rPr>
      </w:pPr>
      <w:r>
        <w:rPr>
          <w:rFonts w:cs="Calibri"/>
        </w:rPr>
        <w:t>“</w:t>
      </w:r>
      <w:r w:rsidR="00C40402" w:rsidRPr="004B7D33">
        <w:rPr>
          <w:rFonts w:cs="Calibri"/>
        </w:rPr>
        <w:t>The three overall indexes (General Executive Composite, Metacognition Index, Behavioral Regulation Index) have been shown to be sensitive to TBI severity and outcome. The BRIEF was selected as a Supplemental measure to provide an evaluation of everyday executive function and because of its standardization on a large number of typically-developing children, thus providing age-based standard scores.</w:t>
      </w:r>
      <w:r>
        <w:rPr>
          <w:rFonts w:cs="Calibri"/>
        </w:rPr>
        <w:t>” – McCauley et al. 2012</w:t>
      </w:r>
    </w:p>
    <w:p w:rsidR="0085772F" w:rsidRPr="00791660" w:rsidRDefault="0085772F" w:rsidP="00C7233D">
      <w:pPr>
        <w:pStyle w:val="Heading3"/>
      </w:pPr>
      <w:r w:rsidRPr="00791660">
        <w:t>REFERENCES:</w:t>
      </w:r>
    </w:p>
    <w:p w:rsidR="00C40402" w:rsidRPr="004B7D33" w:rsidRDefault="00C40402" w:rsidP="00C40402">
      <w:pPr>
        <w:rPr>
          <w:rFonts w:cs="Calibri"/>
        </w:rPr>
      </w:pPr>
      <w:r w:rsidRPr="004B7D33">
        <w:rPr>
          <w:rFonts w:cs="Calibri"/>
        </w:rPr>
        <w:t xml:space="preserve">Gioia, G., Espy, K., and Isquith, P. (2003). Behavior Rating Inventory of Executive Function-- Preschool Version. Psychological Assessment Resources, Inc: Odessa, FL. </w:t>
      </w:r>
    </w:p>
    <w:p w:rsidR="00C40402" w:rsidRPr="004B7D33" w:rsidRDefault="00C40402" w:rsidP="00C40402">
      <w:pPr>
        <w:rPr>
          <w:rFonts w:cs="Calibri"/>
        </w:rPr>
      </w:pPr>
      <w:r w:rsidRPr="004B7D33">
        <w:rPr>
          <w:rFonts w:cs="Calibri"/>
        </w:rPr>
        <w:t>Gioia, G., Isquith, P., Guy, S., and Kenworthy, L. (2000). BRIEF: Behavior Rating Inventory of Executive Function. Psychological Assessment Resources, Inc: Lutz, FL.</w:t>
      </w:r>
    </w:p>
    <w:p w:rsidR="00C40402" w:rsidRPr="004B7D33" w:rsidRDefault="00C40402" w:rsidP="00C40402">
      <w:pPr>
        <w:rPr>
          <w:rFonts w:cs="Calibri"/>
        </w:rPr>
      </w:pPr>
      <w:r w:rsidRPr="004B7D33">
        <w:rPr>
          <w:rFonts w:cs="Calibri"/>
        </w:rPr>
        <w:t>Guy, S., Isquith, P., and Gioia, G. (2004). Behavior Rating Inventory of Executive Function--Self Report Version. Psychological Assessment Resources, Inc: Odessa, FL.</w:t>
      </w:r>
    </w:p>
    <w:p w:rsidR="00C40402" w:rsidRPr="004B7D33" w:rsidRDefault="00C40402" w:rsidP="00C40402">
      <w:pPr>
        <w:rPr>
          <w:rFonts w:cs="Calibri"/>
        </w:rPr>
      </w:pPr>
      <w:r w:rsidRPr="004B7D33">
        <w:rPr>
          <w:rFonts w:cs="Calibri"/>
        </w:rPr>
        <w:t>Chapman, L., Wade, S., Walz, N., Taylor, H., Stancin, T., and Yeates, K. (2010). Clinically significant behavior problems during the initial 18 months following early childhood</w:t>
      </w:r>
      <w:r w:rsidR="004B7D33">
        <w:rPr>
          <w:rFonts w:cs="Calibri"/>
        </w:rPr>
        <w:t xml:space="preserve"> </w:t>
      </w:r>
      <w:r w:rsidRPr="004B7D33">
        <w:rPr>
          <w:rFonts w:cs="Calibri"/>
        </w:rPr>
        <w:t>traumatic brain injury. Rehabil Psychol 55(1), 48-57</w:t>
      </w:r>
    </w:p>
    <w:p w:rsidR="00C40402" w:rsidRPr="004B7D33" w:rsidRDefault="00C40402" w:rsidP="00C40402">
      <w:pPr>
        <w:rPr>
          <w:rFonts w:cs="Calibri"/>
        </w:rPr>
      </w:pPr>
      <w:r w:rsidRPr="004B7D33">
        <w:rPr>
          <w:rFonts w:cs="Calibri"/>
        </w:rPr>
        <w:t>Chevignard, M., Servant, V., Mariller, A., Abada, G., Pradat-Diehl, P., and Laurent-Vanner, A.(2009). Assessment of executive functioning in children after TBI with a naturalistic open-ended task: a pilot study. Dev Neurorehabil 12(2), 76-91.</w:t>
      </w:r>
    </w:p>
    <w:p w:rsidR="00C40402" w:rsidRPr="004B7D33" w:rsidRDefault="00C40402" w:rsidP="00C40402">
      <w:pPr>
        <w:rPr>
          <w:rFonts w:cs="Calibri"/>
        </w:rPr>
      </w:pPr>
      <w:r w:rsidRPr="004B7D33">
        <w:rPr>
          <w:rFonts w:cs="Calibri"/>
        </w:rPr>
        <w:lastRenderedPageBreak/>
        <w:t>Conklin, H., Salorio, C., and Slomine, B. (2008). Working memory performance following paediatric traumatic brain injury. Brain Inj 22(11), 847-857.</w:t>
      </w:r>
    </w:p>
    <w:p w:rsidR="00C40402" w:rsidRPr="004B7D33" w:rsidRDefault="00C40402" w:rsidP="00C40402">
      <w:pPr>
        <w:rPr>
          <w:rFonts w:cs="Calibri"/>
        </w:rPr>
      </w:pPr>
      <w:r w:rsidRPr="004B7D33">
        <w:rPr>
          <w:rFonts w:cs="Calibri"/>
        </w:rPr>
        <w:t>Donders, J., DenBraber, D., and Vos, L. (2010). Construct and criterion validity of the Behaviour Rating Inventory of Executive Function (BRIEF) in children referred for neuropsychological assessment after paediatric traumatic brain injury. J Neuropsychol 4(Pt2), 197-209.</w:t>
      </w:r>
    </w:p>
    <w:p w:rsidR="00C40402" w:rsidRPr="004B7D33" w:rsidRDefault="00C40402" w:rsidP="00C40402">
      <w:pPr>
        <w:rPr>
          <w:rFonts w:cs="Calibri"/>
        </w:rPr>
      </w:pPr>
      <w:r w:rsidRPr="004B7D33">
        <w:rPr>
          <w:rFonts w:cs="Calibri"/>
        </w:rPr>
        <w:t>Gioia, G., and Isquith, P. (2004). Ecological assessment of executive function in traumatic brain injury. Dev Neuropsychol 25(1-2), 135-158.</w:t>
      </w:r>
    </w:p>
    <w:p w:rsidR="00C40402" w:rsidRPr="004B7D33" w:rsidRDefault="00C40402" w:rsidP="00C40402">
      <w:pPr>
        <w:rPr>
          <w:rFonts w:cs="Calibri"/>
        </w:rPr>
      </w:pPr>
      <w:r w:rsidRPr="004B7D33">
        <w:rPr>
          <w:rFonts w:cs="Calibri"/>
        </w:rPr>
        <w:t>Gioia, G., Isquith, P., Kenworthy, L., and Barton, R. (2002). Profiles of everyday executive function in acquired and developmental disorders. Child Neuropsychol 8(2), 121-137.</w:t>
      </w:r>
    </w:p>
    <w:p w:rsidR="00C40402" w:rsidRPr="004B7D33" w:rsidRDefault="00C40402" w:rsidP="00C40402">
      <w:pPr>
        <w:rPr>
          <w:rFonts w:cs="Calibri"/>
        </w:rPr>
      </w:pPr>
      <w:r w:rsidRPr="004B7D33">
        <w:rPr>
          <w:rFonts w:cs="Calibri"/>
        </w:rPr>
        <w:t>Gioia, G., Kenworthy, L., and Isquith, P. (2010). Executive function in the Real World: BRIEF lessons from Mark Ylvisaker. J Head Trauma Rehabil 25(6), 433-439.</w:t>
      </w:r>
    </w:p>
    <w:p w:rsidR="00C40402" w:rsidRPr="004B7D33" w:rsidRDefault="00C40402" w:rsidP="00C40402">
      <w:pPr>
        <w:rPr>
          <w:rFonts w:cs="Calibri"/>
        </w:rPr>
      </w:pPr>
      <w:r w:rsidRPr="004B7D33">
        <w:rPr>
          <w:rFonts w:cs="Calibri"/>
        </w:rPr>
        <w:t>Karunanayaka, P., Holland, S., Yuan, W., Altaye, M., Jones, B., Michaud, L., Walz, N., and Wade, S. (2007). Neural substrate differences in language networks and associated language-related behavioral impairments in children with TBI: A preliminary fMRI investigation. NeuroRehabilitation 22(5), 355-369.</w:t>
      </w:r>
    </w:p>
    <w:p w:rsidR="00C40402" w:rsidRPr="004B7D33" w:rsidRDefault="00C40402" w:rsidP="00C40402">
      <w:pPr>
        <w:rPr>
          <w:rFonts w:cs="Calibri"/>
        </w:rPr>
      </w:pPr>
      <w:r w:rsidRPr="004B7D33">
        <w:rPr>
          <w:rFonts w:cs="Calibri"/>
        </w:rPr>
        <w:t>Maillard-Wermelinger, A., Yeates, K., Gerry Taylor, H., Rusin, J., Bangert, B., Dietrich, A.,Nuss, K., and Wright, M. (2009). Mild traumatic brain injury and executive functions in school-aged children. Dev Neurorehabil 12(5), 330-341.</w:t>
      </w:r>
    </w:p>
    <w:p w:rsidR="00C40402" w:rsidRPr="004B7D33" w:rsidRDefault="00C40402" w:rsidP="00C40402">
      <w:pPr>
        <w:rPr>
          <w:rFonts w:cs="Calibri"/>
        </w:rPr>
      </w:pPr>
      <w:r w:rsidRPr="004B7D33">
        <w:rPr>
          <w:rFonts w:cs="Calibri"/>
        </w:rPr>
        <w:t>Mangeot, S., Armstrong, K., Colvin, A., Yeates, K., and Taylor, H. (2002). Long-term executive function deficits in children with traumatic brain injuries: Assessment using the behavior rating inventory of executive function (BRIEF). Child Neuropsychol. Special Issue: Behavior Rating Inventory of Executive Function (BRIEF) 8(4), 271-284.</w:t>
      </w:r>
    </w:p>
    <w:p w:rsidR="00C40402" w:rsidRPr="004B7D33" w:rsidRDefault="00C40402" w:rsidP="00C40402">
      <w:pPr>
        <w:rPr>
          <w:rFonts w:cs="Calibri"/>
        </w:rPr>
      </w:pPr>
      <w:r w:rsidRPr="004B7D33">
        <w:rPr>
          <w:rFonts w:cs="Calibri"/>
        </w:rPr>
        <w:t>Merkley, T., Bigler, E., Wilde, E., McCauley, S., Hunter, J., and Levin, H. (2008). Diffuse</w:t>
      </w:r>
      <w:r w:rsidR="00A4123B" w:rsidRPr="004B7D33">
        <w:rPr>
          <w:rFonts w:cs="Calibri"/>
        </w:rPr>
        <w:t xml:space="preserve"> </w:t>
      </w:r>
      <w:r w:rsidRPr="004B7D33">
        <w:rPr>
          <w:rFonts w:cs="Calibri"/>
        </w:rPr>
        <w:t>changes in cortical thickness in pediatric moderate-to-severe traumatic brain injury. J</w:t>
      </w:r>
      <w:r w:rsidR="00A4123B" w:rsidRPr="004B7D33">
        <w:rPr>
          <w:rFonts w:cs="Calibri"/>
        </w:rPr>
        <w:t xml:space="preserve"> </w:t>
      </w:r>
      <w:r w:rsidRPr="004B7D33">
        <w:rPr>
          <w:rFonts w:cs="Calibri"/>
        </w:rPr>
        <w:t>Neurotrauma 25(11), 1343-1345.</w:t>
      </w:r>
    </w:p>
    <w:p w:rsidR="00C40402" w:rsidRPr="004B7D33" w:rsidRDefault="00C40402" w:rsidP="00C40402">
      <w:pPr>
        <w:rPr>
          <w:rFonts w:cs="Calibri"/>
        </w:rPr>
      </w:pPr>
      <w:r w:rsidRPr="004B7D33">
        <w:rPr>
          <w:rFonts w:cs="Calibri"/>
        </w:rPr>
        <w:t>Muscara, F., Catro</w:t>
      </w:r>
      <w:r w:rsidR="00A4123B" w:rsidRPr="004B7D33">
        <w:rPr>
          <w:rFonts w:cs="Calibri"/>
        </w:rPr>
        <w:t>ppa, C., and Anderson, V. (2008</w:t>
      </w:r>
      <w:r w:rsidRPr="004B7D33">
        <w:rPr>
          <w:rFonts w:cs="Calibri"/>
        </w:rPr>
        <w:t>). The impact of injury severity on executive function 7-10 years following pediatric traumatic brain injury. Dev Neuropsychol 33(5), 623-636.</w:t>
      </w:r>
    </w:p>
    <w:p w:rsidR="00C40402" w:rsidRPr="004B7D33" w:rsidRDefault="00C40402" w:rsidP="00C40402">
      <w:pPr>
        <w:rPr>
          <w:rFonts w:cs="Calibri"/>
        </w:rPr>
      </w:pPr>
      <w:r w:rsidRPr="004B7D33">
        <w:rPr>
          <w:rFonts w:cs="Calibri"/>
        </w:rPr>
        <w:t>Muscara, F., Catroppa, C., and Ande</w:t>
      </w:r>
      <w:r w:rsidR="00A4123B" w:rsidRPr="004B7D33">
        <w:rPr>
          <w:rFonts w:cs="Calibri"/>
        </w:rPr>
        <w:t>rson, V. (2008</w:t>
      </w:r>
      <w:r w:rsidRPr="004B7D33">
        <w:rPr>
          <w:rFonts w:cs="Calibri"/>
        </w:rPr>
        <w:t>). Social problem-solving skills as a mediator between executive function and long-term social outcome following paediatric traumatic brain injury. J Neuropsychol 2, 445-461.</w:t>
      </w:r>
    </w:p>
    <w:p w:rsidR="00C40402" w:rsidRPr="004B7D33" w:rsidRDefault="00C40402" w:rsidP="00C40402">
      <w:pPr>
        <w:rPr>
          <w:rFonts w:cs="Calibri"/>
        </w:rPr>
      </w:pPr>
      <w:r w:rsidRPr="004B7D33">
        <w:rPr>
          <w:rFonts w:cs="Calibri"/>
        </w:rPr>
        <w:t>Nadebaum, C., Anderson, V., and Catroppa, C. (2007). Executive function outcomes following traumatic brain injury in young children: a five year follow-up. Dev Neuropsychol 32(2), 703-728.</w:t>
      </w:r>
    </w:p>
    <w:p w:rsidR="00C40402" w:rsidRPr="004B7D33" w:rsidRDefault="00C40402" w:rsidP="00C40402">
      <w:pPr>
        <w:rPr>
          <w:rFonts w:cs="Calibri"/>
        </w:rPr>
      </w:pPr>
      <w:r w:rsidRPr="004B7D33">
        <w:rPr>
          <w:rFonts w:cs="Calibri"/>
        </w:rPr>
        <w:t>Power, T., Catroppa, C., Coleman, L., Ditchfield, M., and Anderson, V. (2007). Do lesion site and severity predict deficits in attentional control after preschool traumatic brain injury (TBI)? . Brain Inj 21(3), 279-292.</w:t>
      </w:r>
    </w:p>
    <w:p w:rsidR="00C40402" w:rsidRPr="004B7D33" w:rsidRDefault="00C40402" w:rsidP="00C40402">
      <w:pPr>
        <w:rPr>
          <w:rFonts w:cs="Calibri"/>
        </w:rPr>
      </w:pPr>
      <w:r w:rsidRPr="004B7D33">
        <w:rPr>
          <w:rFonts w:cs="Calibri"/>
        </w:rPr>
        <w:lastRenderedPageBreak/>
        <w:t>Sesma, H., Slomine, B., Ding, R., McCarthy, M., and Group, C. S. (2008). Executive functioning in the first year after pediatric traumatic brain injury. Pediatrics 121, e1686-e1695.</w:t>
      </w:r>
    </w:p>
    <w:p w:rsidR="00C40402" w:rsidRPr="004B7D33" w:rsidRDefault="00C40402" w:rsidP="00C40402">
      <w:pPr>
        <w:rPr>
          <w:rFonts w:cs="Calibri"/>
        </w:rPr>
      </w:pPr>
      <w:r w:rsidRPr="004B7D33">
        <w:rPr>
          <w:rFonts w:cs="Calibri"/>
        </w:rPr>
        <w:t>Vriezen, E., and Pigott, S. (2002). The relationship between parental report and performacebased measures of executive function in children with moderate to severe traumatic brain injury. Child Neuropsychol 8(4), 296-303.</w:t>
      </w:r>
    </w:p>
    <w:p w:rsidR="00C40402" w:rsidRPr="004B7D33" w:rsidRDefault="00C40402" w:rsidP="00C40402">
      <w:pPr>
        <w:rPr>
          <w:rFonts w:cs="Calibri"/>
        </w:rPr>
      </w:pPr>
      <w:r w:rsidRPr="004B7D33">
        <w:rPr>
          <w:rFonts w:cs="Calibri"/>
        </w:rPr>
        <w:t>Walz, N., Cecil, K., Wade, S., and Michaud, L. (2008). Late proton magnetic resonance</w:t>
      </w:r>
    </w:p>
    <w:p w:rsidR="00C40402" w:rsidRPr="004B7D33" w:rsidRDefault="00C40402" w:rsidP="00C40402">
      <w:pPr>
        <w:rPr>
          <w:rFonts w:cs="Calibri"/>
        </w:rPr>
      </w:pPr>
      <w:r w:rsidRPr="004B7D33">
        <w:rPr>
          <w:rFonts w:cs="Calibri"/>
        </w:rPr>
        <w:t>spectroscopy following traumatic brain injury during early childhood: relationship with neurobehavioral outcomes. J Neurotrauma 25(2), 94-103.</w:t>
      </w:r>
    </w:p>
    <w:p w:rsidR="0085772F" w:rsidRPr="004B7D33" w:rsidRDefault="00C40402" w:rsidP="00C40402">
      <w:pPr>
        <w:rPr>
          <w:rFonts w:cs="Calibri"/>
        </w:rPr>
      </w:pPr>
      <w:r w:rsidRPr="004B7D33">
        <w:rPr>
          <w:rFonts w:cs="Calibri"/>
        </w:rPr>
        <w:t>Wozniak, J., Krach, L., Ward, E., Mueller, B., Muetzel, R., Schnoebelen, S., Kiragu, A., and Lim, K. (2007). Neurocognitive and neuroimaging correlates of pediatric traumatic brain injury: a diffusion tensor imaging (DTI) study. Arch Clin Neuropsychol 22(5), 555-568.</w:t>
      </w:r>
    </w:p>
    <w:p w:rsidR="00AC68C0" w:rsidRPr="00791660" w:rsidRDefault="0085772F" w:rsidP="006C4F95">
      <w:pPr>
        <w:pStyle w:val="Heading2"/>
      </w:pPr>
      <w:r w:rsidRPr="00791660">
        <w:br w:type="page"/>
      </w:r>
      <w:r w:rsidR="00AC68C0" w:rsidRPr="00791660">
        <w:lastRenderedPageBreak/>
        <w:t>Brief Visuospatial Memory Test – Revised (BVMT-R)</w:t>
      </w:r>
    </w:p>
    <w:p w:rsidR="00AC68C0" w:rsidRPr="00791660" w:rsidRDefault="00AC68C0" w:rsidP="00C7233D">
      <w:pPr>
        <w:pStyle w:val="Heading3"/>
      </w:pPr>
      <w:r w:rsidRPr="00791660">
        <w:t>DESCRIPTION</w:t>
      </w:r>
    </w:p>
    <w:p w:rsidR="00AC68C0" w:rsidRPr="00791660" w:rsidRDefault="00AC68C0" w:rsidP="00AC68C0">
      <w:pPr>
        <w:spacing w:after="120"/>
        <w:rPr>
          <w:rFonts w:cs="Calibri"/>
        </w:rPr>
      </w:pPr>
      <w:r w:rsidRPr="00791660">
        <w:rPr>
          <w:rFonts w:cs="Calibri"/>
        </w:rPr>
        <w:t>Performance measure. Six simple geometric designs repeated over 3 trials. Score based on number of designs remembered and their location.</w:t>
      </w:r>
      <w:r w:rsidRPr="00791660">
        <w:rPr>
          <w:rFonts w:cs="Calibri"/>
        </w:rPr>
        <w:tab/>
      </w:r>
    </w:p>
    <w:p w:rsidR="00AC68C0" w:rsidRPr="00791660" w:rsidRDefault="00AC68C0" w:rsidP="00C7233D">
      <w:pPr>
        <w:pStyle w:val="Heading3"/>
      </w:pPr>
      <w:r w:rsidRPr="00791660">
        <w:t xml:space="preserve">PERMISSIBLE VALUES </w:t>
      </w:r>
    </w:p>
    <w:p w:rsidR="00AC68C0" w:rsidRPr="00791660" w:rsidRDefault="00AC68C0" w:rsidP="00AC68C0">
      <w:pPr>
        <w:spacing w:after="120"/>
        <w:rPr>
          <w:rFonts w:cs="Calibri"/>
        </w:rPr>
      </w:pPr>
      <w:r w:rsidRPr="00791660">
        <w:rPr>
          <w:rFonts w:cs="Calibri"/>
        </w:rPr>
        <w:t>Test yields a number of scores. More reliable and useful are the total score based on 3 recall trials and delayed recall.</w:t>
      </w:r>
    </w:p>
    <w:p w:rsidR="00AC68C0" w:rsidRPr="00791660" w:rsidRDefault="00AC68C0" w:rsidP="00C7233D">
      <w:pPr>
        <w:pStyle w:val="Heading3"/>
      </w:pPr>
      <w:r w:rsidRPr="00791660">
        <w:t xml:space="preserve">PROCEDURES </w:t>
      </w:r>
    </w:p>
    <w:p w:rsidR="00AC68C0" w:rsidRPr="00791660" w:rsidRDefault="00AC68C0" w:rsidP="00AC68C0">
      <w:pPr>
        <w:spacing w:after="120"/>
        <w:rPr>
          <w:rFonts w:cs="Calibri"/>
        </w:rPr>
      </w:pPr>
      <w:r w:rsidRPr="00791660">
        <w:rPr>
          <w:rFonts w:cs="Calibri"/>
        </w:rPr>
        <w:t>Requires trained examiner to administer, but neuropsychologist or psychologist to interpret. Adm</w:t>
      </w:r>
      <w:r w:rsidR="00C7233D">
        <w:rPr>
          <w:rFonts w:cs="Calibri"/>
        </w:rPr>
        <w:t>inistration time is 15 minutes.</w:t>
      </w:r>
    </w:p>
    <w:p w:rsidR="00AC68C0" w:rsidRPr="00791660" w:rsidRDefault="00AC68C0" w:rsidP="00C7233D">
      <w:pPr>
        <w:pStyle w:val="Heading3"/>
      </w:pPr>
      <w:r w:rsidRPr="00791660">
        <w:t>COMMENTS</w:t>
      </w:r>
    </w:p>
    <w:p w:rsidR="00AC68C0" w:rsidRPr="00791660" w:rsidRDefault="00AC68C0" w:rsidP="00AC68C0">
      <w:pPr>
        <w:spacing w:after="120"/>
        <w:rPr>
          <w:rFonts w:cs="Calibri"/>
        </w:rPr>
      </w:pPr>
      <w:r w:rsidRPr="00791660">
        <w:rPr>
          <w:rFonts w:cs="Calibri"/>
        </w:rPr>
        <w:t>This is a performance based measure which requires the subject to understand what is required and participate in the testing. It requires a functional level in the severe disab</w:t>
      </w:r>
      <w:r w:rsidR="00C7233D">
        <w:rPr>
          <w:rFonts w:cs="Calibri"/>
        </w:rPr>
        <w:t>ility or above on the GOS/GOSE.</w:t>
      </w:r>
    </w:p>
    <w:p w:rsidR="00AC68C0" w:rsidRPr="00791660" w:rsidRDefault="00AC68C0" w:rsidP="00C7233D">
      <w:pPr>
        <w:pStyle w:val="Heading3"/>
      </w:pPr>
      <w:r w:rsidRPr="00791660">
        <w:t>RATIONALE</w:t>
      </w:r>
    </w:p>
    <w:p w:rsidR="00AC68C0" w:rsidRPr="00791660" w:rsidRDefault="00AC68C0" w:rsidP="00AC68C0">
      <w:pPr>
        <w:spacing w:after="120"/>
        <w:rPr>
          <w:rFonts w:cs="Calibri"/>
          <w:b/>
        </w:rPr>
      </w:pPr>
      <w:r w:rsidRPr="00791660">
        <w:rPr>
          <w:rFonts w:cs="Calibri"/>
        </w:rPr>
        <w:t>Has good p</w:t>
      </w:r>
      <w:r w:rsidR="00AD54D0">
        <w:rPr>
          <w:rFonts w:cs="Calibri"/>
        </w:rPr>
        <w:t>sychometric properties, and has</w:t>
      </w:r>
      <w:r w:rsidRPr="00791660">
        <w:rPr>
          <w:rFonts w:cs="Calibri"/>
        </w:rPr>
        <w:t xml:space="preserve"> multiple forms. It is a legacy measure for the NIH Too</w:t>
      </w:r>
      <w:r w:rsidR="00C7233D">
        <w:rPr>
          <w:rFonts w:cs="Calibri"/>
        </w:rPr>
        <w:t>lbox Episodic Memory subdomain</w:t>
      </w:r>
    </w:p>
    <w:p w:rsidR="00AC68C0" w:rsidRPr="00791660" w:rsidRDefault="00AC68C0" w:rsidP="00C7233D">
      <w:pPr>
        <w:pStyle w:val="Heading3"/>
      </w:pPr>
      <w:r w:rsidRPr="00791660">
        <w:t>REFERENCES</w:t>
      </w:r>
    </w:p>
    <w:p w:rsidR="00AC68C0" w:rsidRPr="00791660" w:rsidRDefault="00AC68C0" w:rsidP="00AC68C0">
      <w:pPr>
        <w:rPr>
          <w:rFonts w:cs="Calibri"/>
        </w:rPr>
      </w:pPr>
      <w:r w:rsidRPr="00791660">
        <w:rPr>
          <w:rFonts w:cs="Calibri"/>
        </w:rPr>
        <w:t>Brief Visuospatial Memory Test - Revised. Psychological Assessment Resources, Lutz, Florida</w:t>
      </w:r>
    </w:p>
    <w:p w:rsidR="0085772F" w:rsidRPr="00791660" w:rsidRDefault="0085772F" w:rsidP="006C4F95">
      <w:pPr>
        <w:pStyle w:val="Heading2"/>
      </w:pPr>
      <w:r w:rsidRPr="00791660">
        <w:br w:type="page"/>
      </w:r>
      <w:r w:rsidRPr="00791660">
        <w:lastRenderedPageBreak/>
        <w:t xml:space="preserve">California Verbal Learning Test for Children (CVLT-C) </w:t>
      </w:r>
    </w:p>
    <w:p w:rsidR="0085772F" w:rsidRPr="00972E64" w:rsidRDefault="0085772F" w:rsidP="00C7233D">
      <w:pPr>
        <w:pStyle w:val="Heading3"/>
      </w:pPr>
      <w:r w:rsidRPr="00972E64">
        <w:t>DESCRIPTION:</w:t>
      </w:r>
    </w:p>
    <w:p w:rsidR="00101543" w:rsidRPr="00101543" w:rsidRDefault="00101543" w:rsidP="0085772F">
      <w:pPr>
        <w:rPr>
          <w:rFonts w:cs="Calibri"/>
        </w:rPr>
      </w:pPr>
      <w:r w:rsidRPr="00972E64">
        <w:rPr>
          <w:rFonts w:cs="Calibri"/>
        </w:rPr>
        <w:t xml:space="preserve">The CVLT-C is a measure of verbal learning </w:t>
      </w:r>
      <w:r w:rsidR="007A5EB3" w:rsidRPr="00972E64">
        <w:rPr>
          <w:rFonts w:cs="Calibri"/>
        </w:rPr>
        <w:t xml:space="preserve">and </w:t>
      </w:r>
      <w:r w:rsidR="008472BC">
        <w:rPr>
          <w:rFonts w:cs="Calibri"/>
        </w:rPr>
        <w:t>delayed recall</w:t>
      </w:r>
      <w:r w:rsidR="007A5EB3" w:rsidRPr="00972E64">
        <w:rPr>
          <w:rFonts w:cs="Calibri"/>
        </w:rPr>
        <w:t xml:space="preserve">. </w:t>
      </w:r>
      <w:r w:rsidR="00972E64" w:rsidRPr="00972E64">
        <w:rPr>
          <w:rFonts w:cs="Calibri"/>
        </w:rPr>
        <w:t xml:space="preserve">The test can identify particular disorders the subject may have based on they apply </w:t>
      </w:r>
      <w:r w:rsidR="007A5EB3" w:rsidRPr="00972E64">
        <w:rPr>
          <w:rFonts w:cs="Calibri"/>
        </w:rPr>
        <w:t xml:space="preserve">learning strategies. The test has good </w:t>
      </w:r>
      <w:r w:rsidRPr="00972E64">
        <w:rPr>
          <w:rFonts w:cs="Calibri"/>
        </w:rPr>
        <w:t xml:space="preserve">psychometric properties and has been </w:t>
      </w:r>
      <w:r w:rsidR="007A5EB3" w:rsidRPr="00972E64">
        <w:rPr>
          <w:rFonts w:cs="Calibri"/>
        </w:rPr>
        <w:t>used</w:t>
      </w:r>
      <w:r w:rsidR="007A5EB3">
        <w:rPr>
          <w:rFonts w:cs="Calibri"/>
        </w:rPr>
        <w:t xml:space="preserve"> in </w:t>
      </w:r>
      <w:r w:rsidRPr="00101543">
        <w:rPr>
          <w:rFonts w:cs="Calibri"/>
        </w:rPr>
        <w:t>pediatric TBI</w:t>
      </w:r>
      <w:r w:rsidR="00972E64">
        <w:rPr>
          <w:rFonts w:cs="Calibri"/>
        </w:rPr>
        <w:t xml:space="preserve">, and a </w:t>
      </w:r>
      <w:r w:rsidR="007A5EB3">
        <w:rPr>
          <w:rFonts w:cs="Calibri"/>
        </w:rPr>
        <w:t>Spanish</w:t>
      </w:r>
      <w:r w:rsidR="00972E64">
        <w:rPr>
          <w:rFonts w:cs="Calibri"/>
        </w:rPr>
        <w:t>-language version is available.</w:t>
      </w:r>
      <w:r w:rsidR="007A5EB3">
        <w:rPr>
          <w:rFonts w:cs="Calibri"/>
        </w:rPr>
        <w:t xml:space="preserve"> </w:t>
      </w:r>
      <w:r w:rsidR="008472BC">
        <w:rPr>
          <w:rFonts w:cs="Calibri"/>
        </w:rPr>
        <w:t>Children are given a list and asked to recall the list after an interference task.</w:t>
      </w:r>
    </w:p>
    <w:p w:rsidR="0085772F" w:rsidRPr="00791660" w:rsidRDefault="0085772F" w:rsidP="00C7233D">
      <w:pPr>
        <w:pStyle w:val="Heading3"/>
      </w:pPr>
      <w:r w:rsidRPr="00791660">
        <w:t>PERMISSIBLE VALUES:</w:t>
      </w:r>
    </w:p>
    <w:p w:rsidR="00101543" w:rsidRPr="00101543" w:rsidRDefault="00101543" w:rsidP="00101543">
      <w:pPr>
        <w:rPr>
          <w:rFonts w:cs="Calibri"/>
        </w:rPr>
      </w:pPr>
      <w:r w:rsidRPr="00101543">
        <w:rPr>
          <w:rFonts w:cs="Calibri"/>
        </w:rPr>
        <w:t>A T score assesses overal</w:t>
      </w:r>
      <w:r>
        <w:rPr>
          <w:rFonts w:cs="Calibri"/>
        </w:rPr>
        <w:t>l</w:t>
      </w:r>
      <w:r w:rsidRPr="00101543">
        <w:rPr>
          <w:rFonts w:cs="Calibri"/>
        </w:rPr>
        <w:t xml:space="preserve"> performance (M=50, SD=10).  Other variables are expressed as age-corrected z scores (M = 0, SD = 1), including short delay free recall</w:t>
      </w:r>
      <w:r>
        <w:rPr>
          <w:rFonts w:cs="Calibri"/>
        </w:rPr>
        <w:t xml:space="preserve"> </w:t>
      </w:r>
      <w:r w:rsidRPr="00101543">
        <w:rPr>
          <w:rFonts w:cs="Calibri"/>
        </w:rPr>
        <w:t xml:space="preserve">(SDFR), short delay semantically cued recall (SDCR), long delay free recall (LDFR), long delay semantically cued recall (LDCR), and discriminability index (DISC). </w:t>
      </w:r>
    </w:p>
    <w:p w:rsidR="0085772F" w:rsidRDefault="0085772F" w:rsidP="00C7233D">
      <w:pPr>
        <w:pStyle w:val="Heading3"/>
      </w:pPr>
      <w:r w:rsidRPr="00791660">
        <w:t>PROCEDURE:</w:t>
      </w:r>
    </w:p>
    <w:p w:rsidR="00101543" w:rsidRPr="00101543" w:rsidRDefault="00101543" w:rsidP="0085772F">
      <w:pPr>
        <w:rPr>
          <w:rFonts w:cs="Calibri"/>
        </w:rPr>
      </w:pPr>
      <w:r w:rsidRPr="00101543">
        <w:rPr>
          <w:rFonts w:cs="Calibri"/>
        </w:rPr>
        <w:t xml:space="preserve">The CVLT-C is individually administered and is 15-20 minutes long, plus a 20 minute interval in which child completes non-verbal tasks, which is included in order to assess delayed recall. </w:t>
      </w:r>
    </w:p>
    <w:p w:rsidR="0085772F" w:rsidRDefault="0085772F" w:rsidP="00C7233D">
      <w:pPr>
        <w:pStyle w:val="Heading3"/>
      </w:pPr>
      <w:r w:rsidRPr="00791660">
        <w:t>COMMENTS:</w:t>
      </w:r>
    </w:p>
    <w:p w:rsidR="007A5EB3" w:rsidRDefault="007A5EB3" w:rsidP="0085772F">
      <w:pPr>
        <w:rPr>
          <w:rFonts w:cs="Calibri"/>
        </w:rPr>
      </w:pPr>
      <w:r>
        <w:rPr>
          <w:rFonts w:cs="Calibri"/>
        </w:rPr>
        <w:t>Children aged 5-16 years</w:t>
      </w:r>
    </w:p>
    <w:p w:rsidR="0085772F" w:rsidRDefault="0085772F" w:rsidP="00C7233D">
      <w:pPr>
        <w:pStyle w:val="Heading3"/>
      </w:pPr>
      <w:r w:rsidRPr="00101543">
        <w:t>RATIONALE:</w:t>
      </w:r>
    </w:p>
    <w:p w:rsidR="00101543" w:rsidRPr="00101543" w:rsidRDefault="00101543" w:rsidP="00101543">
      <w:pPr>
        <w:rPr>
          <w:rFonts w:cs="Calibri"/>
        </w:rPr>
      </w:pPr>
      <w:r>
        <w:rPr>
          <w:rFonts w:cs="Calibri"/>
        </w:rPr>
        <w:t>Compared with the RAVLT, “</w:t>
      </w:r>
      <w:r w:rsidRPr="00101543">
        <w:rPr>
          <w:rFonts w:cs="Calibri"/>
        </w:rPr>
        <w:t>the CVLT-C  provides a more comprehensive set of indices to allow for the identification of disorder-specific profiles of deficits in learning strategies and processes and has a wider age range (down to age 4 years with supplemental normative data) with a substantial degree of valida</w:t>
      </w:r>
      <w:r>
        <w:rPr>
          <w:rFonts w:cs="Calibri"/>
        </w:rPr>
        <w:t xml:space="preserve">tion in pediatric TBI research.” – McCauley et al. 2012. </w:t>
      </w:r>
    </w:p>
    <w:p w:rsidR="0085772F" w:rsidRPr="00791660" w:rsidRDefault="0085772F" w:rsidP="00C7233D">
      <w:pPr>
        <w:pStyle w:val="Heading3"/>
      </w:pPr>
      <w:r w:rsidRPr="00791660">
        <w:t>REFERENCES:</w:t>
      </w:r>
    </w:p>
    <w:p w:rsidR="00101543" w:rsidRPr="00101543" w:rsidRDefault="00101543" w:rsidP="00101543">
      <w:pPr>
        <w:rPr>
          <w:rFonts w:cs="Calibri"/>
        </w:rPr>
      </w:pPr>
      <w:r w:rsidRPr="00101543">
        <w:rPr>
          <w:rFonts w:cs="Calibri"/>
        </w:rPr>
        <w:t>Delis, D., Kramar, J., Kaplan, E., and Ober, B. (1994). C</w:t>
      </w:r>
      <w:r>
        <w:rPr>
          <w:rFonts w:cs="Calibri"/>
        </w:rPr>
        <w:t>alifornia Verbal Learning Test-</w:t>
      </w:r>
      <w:r w:rsidRPr="00101543">
        <w:rPr>
          <w:rFonts w:cs="Calibri"/>
        </w:rPr>
        <w:t>Children's version. Pearson Assessments: San Antonio,</w:t>
      </w:r>
    </w:p>
    <w:p w:rsidR="00101543" w:rsidRPr="00101543" w:rsidRDefault="00101543" w:rsidP="00101543">
      <w:pPr>
        <w:rPr>
          <w:rFonts w:cs="Calibri"/>
        </w:rPr>
      </w:pPr>
      <w:r w:rsidRPr="00101543">
        <w:rPr>
          <w:rFonts w:cs="Calibri"/>
        </w:rPr>
        <w:t>Goodman, A., Delis, D., and Mattson, S. (1999). Normative data for four-year old children on the California Verbal Learning Test-Children's version. Clin Neuropsychol 13(3), 274- 282.</w:t>
      </w:r>
    </w:p>
    <w:p w:rsidR="00101543" w:rsidRPr="00101543" w:rsidRDefault="00101543" w:rsidP="00101543">
      <w:pPr>
        <w:rPr>
          <w:rFonts w:cs="Calibri"/>
        </w:rPr>
      </w:pPr>
      <w:r w:rsidRPr="00101543">
        <w:rPr>
          <w:rFonts w:cs="Calibri"/>
        </w:rPr>
        <w:t>Donders, J., and Hoffman, N. (2002). Gender differences in learning and memory after pediatric traumatic brain injury. Neuropsychology 16(4), 491-499.</w:t>
      </w:r>
    </w:p>
    <w:p w:rsidR="00101543" w:rsidRPr="00101543" w:rsidRDefault="00101543" w:rsidP="00101543">
      <w:pPr>
        <w:rPr>
          <w:rFonts w:cs="Calibri"/>
        </w:rPr>
      </w:pPr>
      <w:r w:rsidRPr="00101543">
        <w:rPr>
          <w:rFonts w:cs="Calibri"/>
        </w:rPr>
        <w:t>Donders, J., and Minnema, M. (2004). Performance discrepancies on the California Verbal Learning Test--Children's Version (CVLT-C) in children with traumatic brain injury. J Int Neuropsychol Soc 10(482-8).</w:t>
      </w:r>
    </w:p>
    <w:p w:rsidR="00101543" w:rsidRPr="00101543" w:rsidRDefault="00101543" w:rsidP="00101543">
      <w:pPr>
        <w:rPr>
          <w:rFonts w:cs="Calibri"/>
        </w:rPr>
      </w:pPr>
      <w:r w:rsidRPr="00101543">
        <w:rPr>
          <w:rFonts w:cs="Calibri"/>
        </w:rPr>
        <w:lastRenderedPageBreak/>
        <w:t>Donders, J., and Nesbit-Greene, K. (2004). Predictors of neuropsychological test performance after pediatric traumatic brain injury. Assessment 11(4), 275-284.</w:t>
      </w:r>
    </w:p>
    <w:p w:rsidR="00101543" w:rsidRPr="00101543" w:rsidRDefault="00101543" w:rsidP="00101543">
      <w:pPr>
        <w:rPr>
          <w:rFonts w:cs="Calibri"/>
        </w:rPr>
      </w:pPr>
      <w:r w:rsidRPr="00101543">
        <w:rPr>
          <w:rFonts w:cs="Calibri"/>
        </w:rPr>
        <w:t>Hoffman, N., Donders, J., and Thompson, E. (2000). Novel learning abilities after traumatic head injury in children. Arch Clin Neuropsychol 15(1),47-58</w:t>
      </w:r>
    </w:p>
    <w:p w:rsidR="00101543" w:rsidRPr="00101543" w:rsidRDefault="00101543" w:rsidP="00101543">
      <w:pPr>
        <w:rPr>
          <w:rFonts w:cs="Calibri"/>
        </w:rPr>
      </w:pPr>
      <w:r w:rsidRPr="00101543">
        <w:rPr>
          <w:rFonts w:cs="Calibri"/>
        </w:rPr>
        <w:t>Mottram, L., and Donders, J. (2005). Construct validity of the California Verbal Learning Test-- Children's Version (CVLT-C) after pediatric traumatic brain injury. Psychol Assess 17(2), 212-217.</w:t>
      </w:r>
    </w:p>
    <w:p w:rsidR="00101543" w:rsidRPr="00101543" w:rsidRDefault="00101543" w:rsidP="00101543">
      <w:pPr>
        <w:rPr>
          <w:rFonts w:cs="Calibri"/>
        </w:rPr>
      </w:pPr>
      <w:r w:rsidRPr="00101543">
        <w:rPr>
          <w:rFonts w:cs="Calibri"/>
        </w:rPr>
        <w:t>Mottram, L., and Donders, J. (2006). Cluster subtypes on the California verbal learning testchildren's version after pediatric traumatic brain injury. Dev Neuropsychol 30(3), 865- 883.</w:t>
      </w:r>
    </w:p>
    <w:p w:rsidR="00101543" w:rsidRPr="00101543" w:rsidRDefault="00101543" w:rsidP="00101543">
      <w:pPr>
        <w:rPr>
          <w:rFonts w:cs="Calibri"/>
        </w:rPr>
      </w:pPr>
      <w:r w:rsidRPr="00101543">
        <w:rPr>
          <w:rFonts w:cs="Calibri"/>
        </w:rPr>
        <w:t>Roman, M., Delis, D., Willerman, L., Magulac, M., Demadura, T., de la Pena, J., Loftis, C.,</w:t>
      </w:r>
    </w:p>
    <w:p w:rsidR="00101543" w:rsidRPr="00101543" w:rsidRDefault="00101543" w:rsidP="00101543">
      <w:pPr>
        <w:rPr>
          <w:rFonts w:cs="Calibri"/>
        </w:rPr>
      </w:pPr>
      <w:r w:rsidRPr="00101543">
        <w:rPr>
          <w:rFonts w:cs="Calibri"/>
        </w:rPr>
        <w:t>Walsh, J., and Kracun, M. (1998). Impact of pediatric traumatic brain injury on</w:t>
      </w:r>
    </w:p>
    <w:p w:rsidR="00101543" w:rsidRPr="00101543" w:rsidRDefault="00101543" w:rsidP="00101543">
      <w:pPr>
        <w:rPr>
          <w:rFonts w:cs="Calibri"/>
        </w:rPr>
      </w:pPr>
      <w:r w:rsidRPr="00101543">
        <w:rPr>
          <w:rFonts w:cs="Calibri"/>
        </w:rPr>
        <w:t>components of verbal memory. J Clin Exp Neuropsychol 20, 245-258.</w:t>
      </w:r>
    </w:p>
    <w:p w:rsidR="00101543" w:rsidRPr="00101543" w:rsidRDefault="00101543" w:rsidP="00101543">
      <w:pPr>
        <w:rPr>
          <w:rFonts w:cs="Calibri"/>
        </w:rPr>
      </w:pPr>
      <w:r w:rsidRPr="00101543">
        <w:rPr>
          <w:rFonts w:cs="Calibri"/>
        </w:rPr>
        <w:t>Salorio, C., Slomine, B., Grados, M., Vasa, R., Christensen, J., and Gerring, J. (2005).</w:t>
      </w:r>
    </w:p>
    <w:p w:rsidR="00101543" w:rsidRPr="00101543" w:rsidRDefault="00101543" w:rsidP="00101543">
      <w:pPr>
        <w:rPr>
          <w:rFonts w:cs="Calibri"/>
        </w:rPr>
      </w:pPr>
      <w:r w:rsidRPr="00101543">
        <w:rPr>
          <w:rFonts w:cs="Calibri"/>
        </w:rPr>
        <w:t>Neuroanatomic correlates of CVLT-C performance following pediatric traumatic brain injury. J Int Neuropsychol Soc 11(6),686-696</w:t>
      </w:r>
    </w:p>
    <w:p w:rsidR="00101543" w:rsidRPr="00101543" w:rsidRDefault="00101543" w:rsidP="00101543">
      <w:pPr>
        <w:rPr>
          <w:rFonts w:cs="Calibri"/>
        </w:rPr>
      </w:pPr>
      <w:r w:rsidRPr="00101543">
        <w:rPr>
          <w:rFonts w:cs="Calibri"/>
        </w:rPr>
        <w:t>Warschausky, S., Kay, J., Chi, P., and Donders, J. (2005). Hierarchical linear modeling of California Verbal Learning Test--Children's Version learning curve characteristics following childhood traumatic head injury. Neuropsychology 19(2), 193-198.</w:t>
      </w:r>
    </w:p>
    <w:p w:rsidR="00101543" w:rsidRPr="00101543" w:rsidRDefault="00101543" w:rsidP="00101543">
      <w:pPr>
        <w:rPr>
          <w:rFonts w:cs="Calibri"/>
        </w:rPr>
      </w:pPr>
      <w:r w:rsidRPr="00101543">
        <w:rPr>
          <w:rFonts w:cs="Calibri"/>
        </w:rPr>
        <w:t>Yeates, K., Bloomenstein, E., Patterson, C., and Delis, D. (1995). Verbal learning and memory following pediatric closed head injury. J Int Neuropsychol Soc 1, 78-89.</w:t>
      </w:r>
    </w:p>
    <w:p w:rsidR="00101543" w:rsidRPr="00101543" w:rsidRDefault="00101543" w:rsidP="00101543">
      <w:pPr>
        <w:rPr>
          <w:rFonts w:cs="Calibri"/>
        </w:rPr>
      </w:pPr>
      <w:r w:rsidRPr="00101543">
        <w:rPr>
          <w:rFonts w:cs="Calibri"/>
        </w:rPr>
        <w:t>Rosselli, M., Ardila, A., Bateman, J., and Guzman, M. (2001). Neuropsychological test scorse, academic performance, and developmental disorders in Spanish-speaker children. Dev Neuropsychol 20(1), 355-373.</w:t>
      </w:r>
    </w:p>
    <w:p w:rsidR="00AD54D0" w:rsidRDefault="00AD54D0" w:rsidP="00AD54D0">
      <w:r w:rsidRPr="00AD54D0">
        <w:t>Wilde, E., Whiteneck, C., Bogner, J., Bushnik, T., Cifu, D., Dikmen, S., French, L., Giacino, J., Hart, T., Malec, J., Millis, S., Novack, T., Sherer, M., Tulsky, D., Vanderploeg, R., and von Steinbuechel, N. (2010). Recommendations for the use of common outcome measures in traumatic brain injury research. Arch Phys Med Rehabil 01(11), 1650-1660.</w:t>
      </w:r>
    </w:p>
    <w:p w:rsidR="00AC68C0" w:rsidRPr="00791660" w:rsidRDefault="0085772F" w:rsidP="006C4F95">
      <w:pPr>
        <w:pStyle w:val="Heading2"/>
      </w:pPr>
      <w:r w:rsidRPr="00791660">
        <w:br w:type="page"/>
      </w:r>
      <w:r w:rsidR="00AC68C0" w:rsidRPr="00791660">
        <w:lastRenderedPageBreak/>
        <w:t>Color-Word Interference Test</w:t>
      </w:r>
    </w:p>
    <w:p w:rsidR="00AC68C0" w:rsidRPr="00791660" w:rsidRDefault="00AC68C0" w:rsidP="00C7233D">
      <w:pPr>
        <w:pStyle w:val="Heading3"/>
      </w:pPr>
      <w:r w:rsidRPr="00791660">
        <w:t>DESCRIPTION</w:t>
      </w:r>
    </w:p>
    <w:p w:rsidR="00AC68C0" w:rsidRPr="00791660" w:rsidRDefault="00AC68C0" w:rsidP="00AC68C0">
      <w:pPr>
        <w:spacing w:after="120"/>
        <w:rPr>
          <w:rFonts w:cs="Calibri"/>
        </w:rPr>
      </w:pPr>
      <w:r w:rsidRPr="00791660">
        <w:rPr>
          <w:rFonts w:cs="Calibri"/>
        </w:rPr>
        <w:t>Examinee names color patches (Condition 1); reads words that denote colors printed in black ink (Condition 2); names the ink color in which color words are printed (Condition 3); switches back and forth between naming dissonant ink colors and reading the c</w:t>
      </w:r>
      <w:r w:rsidR="00C7233D">
        <w:rPr>
          <w:rFonts w:cs="Calibri"/>
        </w:rPr>
        <w:t>onflicting words (Condition 4).</w:t>
      </w:r>
    </w:p>
    <w:p w:rsidR="00AC68C0" w:rsidRPr="00791660" w:rsidRDefault="00AC68C0" w:rsidP="00C7233D">
      <w:pPr>
        <w:pStyle w:val="Heading3"/>
      </w:pPr>
      <w:r w:rsidRPr="00791660">
        <w:t xml:space="preserve">PERMISSIBLE VALUES </w:t>
      </w:r>
    </w:p>
    <w:p w:rsidR="00AC68C0" w:rsidRPr="00791660" w:rsidRDefault="00AC68C0" w:rsidP="00AC68C0">
      <w:pPr>
        <w:spacing w:after="120"/>
        <w:rPr>
          <w:rFonts w:cs="Calibri"/>
          <w:b/>
        </w:rPr>
      </w:pPr>
      <w:r w:rsidRPr="00791660">
        <w:rPr>
          <w:rFonts w:cs="Calibri"/>
        </w:rPr>
        <w:t>Scoring is expressed in terms of the number of seconds required to complete each of the 4 conditions.  Total uncorrected and total self-corrected errors are also recorded for each condition.</w:t>
      </w:r>
    </w:p>
    <w:p w:rsidR="00AC68C0" w:rsidRPr="00791660" w:rsidRDefault="00AC68C0" w:rsidP="00C7233D">
      <w:pPr>
        <w:pStyle w:val="Heading3"/>
      </w:pPr>
      <w:r w:rsidRPr="00791660">
        <w:t xml:space="preserve">PROCEDURES </w:t>
      </w:r>
    </w:p>
    <w:p w:rsidR="00AC68C0" w:rsidRPr="00791660" w:rsidRDefault="00AC68C0" w:rsidP="00AC68C0">
      <w:pPr>
        <w:rPr>
          <w:rFonts w:cs="Calibri"/>
          <w:b/>
        </w:rPr>
      </w:pPr>
      <w:r w:rsidRPr="00791660">
        <w:rPr>
          <w:rFonts w:cs="Calibri"/>
        </w:rPr>
        <w:t>Trained technician can administer. Neuropsychologist needs to interpret.  Adminis</w:t>
      </w:r>
      <w:r w:rsidR="00C7233D">
        <w:rPr>
          <w:rFonts w:cs="Calibri"/>
        </w:rPr>
        <w:t>tration time is 7 - 10 minutes.</w:t>
      </w:r>
    </w:p>
    <w:p w:rsidR="00AC68C0" w:rsidRPr="00791660" w:rsidRDefault="00AC68C0" w:rsidP="00C7233D">
      <w:pPr>
        <w:pStyle w:val="Heading3"/>
      </w:pPr>
      <w:r w:rsidRPr="00791660">
        <w:t>COMMENTS</w:t>
      </w:r>
    </w:p>
    <w:p w:rsidR="00AC68C0" w:rsidRPr="00791660" w:rsidRDefault="00AC68C0" w:rsidP="00AC68C0">
      <w:pPr>
        <w:spacing w:after="120"/>
        <w:rPr>
          <w:rFonts w:cs="Calibri"/>
        </w:rPr>
      </w:pPr>
      <w:r w:rsidRPr="00791660">
        <w:rPr>
          <w:rFonts w:cs="Calibri"/>
        </w:rPr>
        <w:t>Can be given to persons age 8 to 89.  Can be used to assess a wide range of impairment but patients should have emerg</w:t>
      </w:r>
      <w:r w:rsidR="00C7233D">
        <w:rPr>
          <w:rFonts w:cs="Calibri"/>
        </w:rPr>
        <w:t>ed from post-traumatic amnesia.</w:t>
      </w:r>
    </w:p>
    <w:p w:rsidR="00AC68C0" w:rsidRPr="00791660" w:rsidRDefault="00AC68C0" w:rsidP="00C7233D">
      <w:pPr>
        <w:pStyle w:val="Heading3"/>
      </w:pPr>
      <w:r w:rsidRPr="00791660">
        <w:t>RATIONALE</w:t>
      </w:r>
    </w:p>
    <w:p w:rsidR="00AC68C0" w:rsidRPr="00791660" w:rsidRDefault="00AC68C0" w:rsidP="00AC68C0">
      <w:pPr>
        <w:spacing w:after="120"/>
        <w:rPr>
          <w:rFonts w:cs="Calibri"/>
          <w:b/>
        </w:rPr>
      </w:pPr>
      <w:r w:rsidRPr="00791660">
        <w:rPr>
          <w:rFonts w:cs="Calibri"/>
        </w:rPr>
        <w:t>Tests like the CWIT (i.e., "Stroop" tests) have been used frequently in a wide range of patient groups thought to ha</w:t>
      </w:r>
      <w:r w:rsidR="00C7233D">
        <w:rPr>
          <w:rFonts w:cs="Calibri"/>
        </w:rPr>
        <w:t>ve executive function deficits.</w:t>
      </w:r>
    </w:p>
    <w:p w:rsidR="00AC68C0" w:rsidRPr="00791660" w:rsidRDefault="00AC68C0" w:rsidP="00C7233D">
      <w:pPr>
        <w:pStyle w:val="Heading3"/>
      </w:pPr>
      <w:r w:rsidRPr="00791660">
        <w:t>REFERENCES</w:t>
      </w:r>
    </w:p>
    <w:p w:rsidR="0085772F" w:rsidRPr="00791660" w:rsidRDefault="00AC68C0" w:rsidP="00AC68C0">
      <w:pPr>
        <w:rPr>
          <w:rFonts w:cs="Calibri"/>
        </w:rPr>
      </w:pPr>
      <w:r w:rsidRPr="00791660">
        <w:rPr>
          <w:rFonts w:cs="Calibri"/>
        </w:rPr>
        <w:t>De</w:t>
      </w:r>
      <w:r w:rsidR="00AD54D0">
        <w:rPr>
          <w:rFonts w:cs="Calibri"/>
        </w:rPr>
        <w:t xml:space="preserve">lis, D, Kaplan, E, &amp; Kramer, J </w:t>
      </w:r>
      <w:r w:rsidRPr="00791660">
        <w:rPr>
          <w:rFonts w:cs="Calibri"/>
        </w:rPr>
        <w:t>(2001).  Delis-Kaplan Executive Func</w:t>
      </w:r>
      <w:r w:rsidR="00C7233D">
        <w:rPr>
          <w:rFonts w:cs="Calibri"/>
        </w:rPr>
        <w:t xml:space="preserve">tion System.  San Antonio, TX: </w:t>
      </w:r>
      <w:r w:rsidRPr="00791660">
        <w:rPr>
          <w:rFonts w:cs="Calibri"/>
        </w:rPr>
        <w:t>The Psychological Corp.</w:t>
      </w:r>
    </w:p>
    <w:p w:rsidR="0085772F" w:rsidRPr="00791660" w:rsidRDefault="0085772F" w:rsidP="006C4F95">
      <w:pPr>
        <w:pStyle w:val="Heading2"/>
      </w:pPr>
      <w:r w:rsidRPr="00791660">
        <w:br w:type="page"/>
      </w:r>
      <w:r w:rsidRPr="00F577C4">
        <w:lastRenderedPageBreak/>
        <w:t>Conners’ Continuous Performance Test-Revised (CPT-2)</w:t>
      </w:r>
    </w:p>
    <w:p w:rsidR="0085772F" w:rsidRDefault="0085772F" w:rsidP="00C7233D">
      <w:pPr>
        <w:pStyle w:val="Heading3"/>
      </w:pPr>
      <w:r w:rsidRPr="00791660">
        <w:t>DESCRIPTION:</w:t>
      </w:r>
    </w:p>
    <w:p w:rsidR="008472BC" w:rsidRPr="00F40110" w:rsidRDefault="00AA0A54" w:rsidP="0085772F">
      <w:pPr>
        <w:rPr>
          <w:rFonts w:cs="Calibri"/>
        </w:rPr>
      </w:pPr>
      <w:r>
        <w:rPr>
          <w:rFonts w:cs="Calibri"/>
        </w:rPr>
        <w:t xml:space="preserve">The CPT-2 is often used to evaluate </w:t>
      </w:r>
      <w:r w:rsidRPr="00F40110">
        <w:rPr>
          <w:rFonts w:cs="Calibri"/>
        </w:rPr>
        <w:t>Attention Deficit/Hyperactivity Disorder</w:t>
      </w:r>
      <w:r>
        <w:rPr>
          <w:rFonts w:cs="Calibri"/>
        </w:rPr>
        <w:t>. The test is</w:t>
      </w:r>
      <w:r w:rsidR="008472BC" w:rsidRPr="00F40110">
        <w:rPr>
          <w:rFonts w:cs="Calibri"/>
        </w:rPr>
        <w:t xml:space="preserve"> computerized </w:t>
      </w:r>
      <w:r w:rsidR="00F577C4">
        <w:rPr>
          <w:rFonts w:cs="Calibri"/>
        </w:rPr>
        <w:t xml:space="preserve">and measures </w:t>
      </w:r>
      <w:r w:rsidR="008472BC" w:rsidRPr="00F40110">
        <w:rPr>
          <w:rFonts w:cs="Calibri"/>
        </w:rPr>
        <w:t>attention and response inhibition</w:t>
      </w:r>
      <w:r w:rsidR="00F577C4">
        <w:rPr>
          <w:rFonts w:cs="Calibri"/>
        </w:rPr>
        <w:t xml:space="preserve"> of the subject</w:t>
      </w:r>
      <w:r w:rsidR="008472BC" w:rsidRPr="00F40110">
        <w:rPr>
          <w:rFonts w:cs="Calibri"/>
        </w:rPr>
        <w:t xml:space="preserve">. </w:t>
      </w:r>
      <w:r w:rsidR="00F577C4">
        <w:rPr>
          <w:rFonts w:cs="Calibri"/>
        </w:rPr>
        <w:t xml:space="preserve">During the test, the subject must press a key in response to all letters but the letter X. </w:t>
      </w:r>
    </w:p>
    <w:p w:rsidR="0085772F" w:rsidRDefault="0085772F" w:rsidP="00C7233D">
      <w:pPr>
        <w:pStyle w:val="Heading3"/>
      </w:pPr>
      <w:r w:rsidRPr="00791660">
        <w:t>PERMISSIBLE VALUES:</w:t>
      </w:r>
    </w:p>
    <w:p w:rsidR="008472BC" w:rsidRPr="00F40110" w:rsidRDefault="008472BC" w:rsidP="0085772F">
      <w:pPr>
        <w:rPr>
          <w:rFonts w:cs="Calibri"/>
        </w:rPr>
      </w:pPr>
      <w:r w:rsidRPr="00F40110">
        <w:rPr>
          <w:rFonts w:cs="Calibri"/>
        </w:rPr>
        <w:t>T scores are given for each measure (M=50, SD=10). The confidence index given represents percent similarity to ADHD profile.</w:t>
      </w:r>
    </w:p>
    <w:p w:rsidR="0085772F" w:rsidRDefault="0085772F" w:rsidP="00C7233D">
      <w:pPr>
        <w:pStyle w:val="Heading3"/>
      </w:pPr>
      <w:r w:rsidRPr="00791660">
        <w:t>PROCEDURE:</w:t>
      </w:r>
    </w:p>
    <w:p w:rsidR="008472BC" w:rsidRPr="00F40110" w:rsidRDefault="008472BC" w:rsidP="0085772F">
      <w:pPr>
        <w:rPr>
          <w:rFonts w:cs="Calibri"/>
        </w:rPr>
      </w:pPr>
      <w:r w:rsidRPr="00F40110">
        <w:rPr>
          <w:rFonts w:cs="Calibri"/>
        </w:rPr>
        <w:t xml:space="preserve">No specific qualifications are required for supervising the CPT-2 test, which is administered to the </w:t>
      </w:r>
      <w:r w:rsidR="007F7EC4">
        <w:rPr>
          <w:rFonts w:cs="Calibri"/>
        </w:rPr>
        <w:t xml:space="preserve">subject via computer software. </w:t>
      </w:r>
      <w:r w:rsidRPr="00F40110">
        <w:rPr>
          <w:rFonts w:cs="Calibri"/>
        </w:rPr>
        <w:t xml:space="preserve">The test takes 14 minutes to administer. </w:t>
      </w:r>
    </w:p>
    <w:p w:rsidR="0085772F" w:rsidRDefault="0085772F" w:rsidP="00C7233D">
      <w:pPr>
        <w:pStyle w:val="Heading3"/>
      </w:pPr>
      <w:r w:rsidRPr="00791660">
        <w:t>COMMENTS:</w:t>
      </w:r>
    </w:p>
    <w:p w:rsidR="008472BC" w:rsidRPr="00F40110" w:rsidRDefault="008472BC" w:rsidP="0085772F">
      <w:pPr>
        <w:rPr>
          <w:rFonts w:cs="Calibri"/>
        </w:rPr>
      </w:pPr>
      <w:r w:rsidRPr="00F40110">
        <w:rPr>
          <w:rFonts w:cs="Calibri"/>
        </w:rPr>
        <w:t>The test can be administered to persons ages 6 to over 55 years.</w:t>
      </w:r>
    </w:p>
    <w:p w:rsidR="0085772F" w:rsidRPr="00791660" w:rsidRDefault="0085772F" w:rsidP="00C7233D">
      <w:pPr>
        <w:pStyle w:val="Heading3"/>
      </w:pPr>
      <w:r w:rsidRPr="00791660">
        <w:t>REFERENCES:</w:t>
      </w:r>
    </w:p>
    <w:p w:rsidR="0085772F" w:rsidRPr="00F40110" w:rsidRDefault="00EF6CD6" w:rsidP="0085772F">
      <w:pPr>
        <w:rPr>
          <w:rFonts w:cs="Calibri"/>
        </w:rPr>
      </w:pPr>
      <w:r w:rsidRPr="00F40110">
        <w:rPr>
          <w:rFonts w:cs="Calibri"/>
        </w:rPr>
        <w:t>Conners, C. (2004). Continuous Performance Test. Technical guide and software manual (Second ed.). MultiHealth Systems: North Tonawanda, NY.</w:t>
      </w:r>
    </w:p>
    <w:p w:rsidR="00AC68C0" w:rsidRPr="00791660" w:rsidRDefault="0085772F" w:rsidP="006C4F95">
      <w:pPr>
        <w:pStyle w:val="Heading2"/>
      </w:pPr>
      <w:r w:rsidRPr="00791660">
        <w:br w:type="page"/>
      </w:r>
      <w:r w:rsidRPr="00F577C4">
        <w:lastRenderedPageBreak/>
        <w:t>Contingency Naming Test (CNT)</w:t>
      </w:r>
    </w:p>
    <w:p w:rsidR="0085772F" w:rsidRDefault="0085772F" w:rsidP="00C7233D">
      <w:pPr>
        <w:pStyle w:val="Heading3"/>
      </w:pPr>
      <w:r w:rsidRPr="00791660">
        <w:t>DESCRIPTION:</w:t>
      </w:r>
    </w:p>
    <w:p w:rsidR="004B7CEF" w:rsidRPr="00F577C4" w:rsidRDefault="004B7CEF" w:rsidP="0085772F">
      <w:pPr>
        <w:rPr>
          <w:rFonts w:cs="Calibri"/>
        </w:rPr>
      </w:pPr>
      <w:r w:rsidRPr="00F577C4">
        <w:rPr>
          <w:rFonts w:cs="Calibri"/>
        </w:rPr>
        <w:t>The CNT</w:t>
      </w:r>
      <w:r w:rsidR="00F577C4">
        <w:rPr>
          <w:rFonts w:cs="Calibri"/>
        </w:rPr>
        <w:t xml:space="preserve"> tests response switching with four different tasks. Each task has a different rule by which the subject must identify </w:t>
      </w:r>
      <w:r w:rsidRPr="00F577C4">
        <w:rPr>
          <w:rFonts w:cs="Calibri"/>
        </w:rPr>
        <w:t xml:space="preserve">colored shapes </w:t>
      </w:r>
      <w:r w:rsidR="00F577C4">
        <w:rPr>
          <w:rFonts w:cs="Calibri"/>
        </w:rPr>
        <w:t xml:space="preserve">(i.e. according to its </w:t>
      </w:r>
      <w:r w:rsidRPr="00F577C4">
        <w:rPr>
          <w:rFonts w:cs="Calibri"/>
        </w:rPr>
        <w:t xml:space="preserve">color or </w:t>
      </w:r>
      <w:r w:rsidR="00F577C4">
        <w:rPr>
          <w:rFonts w:cs="Calibri"/>
        </w:rPr>
        <w:t xml:space="preserve">to its </w:t>
      </w:r>
      <w:r w:rsidRPr="00F577C4">
        <w:rPr>
          <w:rFonts w:cs="Calibri"/>
        </w:rPr>
        <w:t>shape</w:t>
      </w:r>
      <w:r w:rsidR="00F577C4">
        <w:rPr>
          <w:rFonts w:cs="Calibri"/>
        </w:rPr>
        <w:t xml:space="preserve">). </w:t>
      </w:r>
    </w:p>
    <w:p w:rsidR="0085772F" w:rsidRDefault="0085772F" w:rsidP="00C7233D">
      <w:pPr>
        <w:pStyle w:val="Heading3"/>
      </w:pPr>
      <w:r w:rsidRPr="00791660">
        <w:t>PERMISSIBLE VALUES:</w:t>
      </w:r>
    </w:p>
    <w:p w:rsidR="004B7CEF" w:rsidRPr="00F577C4" w:rsidRDefault="00F577C4" w:rsidP="0085772F">
      <w:pPr>
        <w:rPr>
          <w:rFonts w:cs="Calibri"/>
        </w:rPr>
      </w:pPr>
      <w:r>
        <w:rPr>
          <w:rFonts w:cs="Calibri"/>
        </w:rPr>
        <w:t xml:space="preserve">A cognitive flexibility index, numbers of errors and </w:t>
      </w:r>
      <w:r w:rsidRPr="00F577C4">
        <w:rPr>
          <w:rFonts w:cs="Calibri"/>
        </w:rPr>
        <w:t xml:space="preserve">self-corrections, and response latency are scored </w:t>
      </w:r>
    </w:p>
    <w:p w:rsidR="0085772F" w:rsidRDefault="0085772F" w:rsidP="00C7233D">
      <w:pPr>
        <w:pStyle w:val="Heading3"/>
      </w:pPr>
      <w:r w:rsidRPr="00791660">
        <w:t>PROCEDURE:</w:t>
      </w:r>
    </w:p>
    <w:p w:rsidR="004B7CEF" w:rsidRPr="00F577C4" w:rsidRDefault="004B7CEF" w:rsidP="0085772F">
      <w:pPr>
        <w:rPr>
          <w:rFonts w:cs="Calibri"/>
        </w:rPr>
      </w:pPr>
      <w:r w:rsidRPr="00F577C4">
        <w:rPr>
          <w:rFonts w:cs="Calibri"/>
        </w:rPr>
        <w:t>The test takes around 5 minutes to administer</w:t>
      </w:r>
    </w:p>
    <w:p w:rsidR="0085772F" w:rsidRDefault="0085772F" w:rsidP="00C7233D">
      <w:pPr>
        <w:pStyle w:val="Heading3"/>
      </w:pPr>
      <w:r w:rsidRPr="00791660">
        <w:t>COMMENTS:</w:t>
      </w:r>
    </w:p>
    <w:p w:rsidR="00F577C4" w:rsidRPr="00F577C4" w:rsidRDefault="00F577C4" w:rsidP="0085772F">
      <w:pPr>
        <w:rPr>
          <w:rFonts w:cs="Calibri"/>
        </w:rPr>
      </w:pPr>
      <w:r w:rsidRPr="00F577C4">
        <w:rPr>
          <w:rFonts w:cs="Calibri"/>
        </w:rPr>
        <w:t xml:space="preserve">For children aged 6-16, although can be used in older adolescents. </w:t>
      </w:r>
    </w:p>
    <w:p w:rsidR="0085772F" w:rsidRDefault="0085772F" w:rsidP="00C7233D">
      <w:pPr>
        <w:pStyle w:val="Heading3"/>
      </w:pPr>
      <w:r w:rsidRPr="00791660">
        <w:t>RATIONALE:</w:t>
      </w:r>
    </w:p>
    <w:p w:rsidR="004B7CEF" w:rsidRPr="00F577C4" w:rsidRDefault="00F577C4" w:rsidP="0085772F">
      <w:pPr>
        <w:rPr>
          <w:rFonts w:cs="Calibri"/>
        </w:rPr>
      </w:pPr>
      <w:r>
        <w:rPr>
          <w:rFonts w:cs="Calibri"/>
        </w:rPr>
        <w:t>“</w:t>
      </w:r>
      <w:r w:rsidR="004B7CEF" w:rsidRPr="00F577C4">
        <w:rPr>
          <w:rFonts w:cs="Calibri"/>
        </w:rPr>
        <w:t>The CNT was selected as a Supplemental measure based on its good psychometric features, its sensitivity to TBI in children, and its availability in the public domain. The CNT has been used to study short and long term outcomes of moderate to severe TBI in children and it has been shown to predict social problem-solving skills.</w:t>
      </w:r>
      <w:r>
        <w:rPr>
          <w:rFonts w:cs="Calibri"/>
        </w:rPr>
        <w:t>” – McCauley et al. 2012</w:t>
      </w:r>
    </w:p>
    <w:p w:rsidR="0085772F" w:rsidRPr="00791660" w:rsidRDefault="0085772F" w:rsidP="00C7233D">
      <w:pPr>
        <w:pStyle w:val="Heading3"/>
      </w:pPr>
      <w:r w:rsidRPr="00791660">
        <w:t>REFERENCES:</w:t>
      </w:r>
    </w:p>
    <w:p w:rsidR="004B7CEF" w:rsidRPr="00F577C4" w:rsidRDefault="004B7CEF" w:rsidP="004B7CEF">
      <w:pPr>
        <w:rPr>
          <w:rFonts w:cs="Calibri"/>
        </w:rPr>
      </w:pPr>
      <w:r w:rsidRPr="00F577C4">
        <w:rPr>
          <w:rFonts w:cs="Calibri"/>
        </w:rPr>
        <w:t>Taylor, H., Schatsneider, C., and Rich, D. (1992). Sequelae of Haemophilus Influenzae meningitis: Implications for the study of brain disease and development. In M. Tramontana &amp; S. Hooper (Eds.), Advances in clinical neuropsychology (Vol. I, pp. 50- 108). New York: Springer-Verlag.</w:t>
      </w:r>
    </w:p>
    <w:p w:rsidR="004B7CEF" w:rsidRDefault="004B7CEF" w:rsidP="004B7CEF">
      <w:pPr>
        <w:rPr>
          <w:rFonts w:cs="Calibri"/>
        </w:rPr>
      </w:pPr>
      <w:r w:rsidRPr="00F577C4">
        <w:rPr>
          <w:rFonts w:cs="Calibri"/>
        </w:rPr>
        <w:t>Anderson, V., Anderson, P., Northam, E., Jacobs, R., and Mikiewicz, O. (2002). Relationships between cognitive and behavioral measures of executive function in children with brain disease. Child Neuropsychol 8(4), 231-240.</w:t>
      </w:r>
    </w:p>
    <w:p w:rsidR="00AD54D0" w:rsidRPr="00F577C4" w:rsidRDefault="00AD54D0" w:rsidP="00AD54D0">
      <w:r w:rsidRPr="00AD54D0">
        <w:t>Muscara, F., Catroppa, C., and Anderson, V. (2008a). The impact of injury severity on executive function 7-10 years following pediatric traumatic brain injury. Dev Neuropsychol 33(5), 623-636.</w:t>
      </w:r>
    </w:p>
    <w:p w:rsidR="00AC68C0" w:rsidRPr="00791660" w:rsidRDefault="0085772F" w:rsidP="00AD54D0">
      <w:pPr>
        <w:pStyle w:val="Heading2"/>
      </w:pPr>
      <w:r w:rsidRPr="00F577C4">
        <w:br w:type="page"/>
      </w:r>
      <w:r w:rsidR="00AC68C0" w:rsidRPr="00791660">
        <w:lastRenderedPageBreak/>
        <w:t>Controlled Oral Word Association Test (COWAT)</w:t>
      </w:r>
    </w:p>
    <w:p w:rsidR="00AC68C0" w:rsidRPr="00791660" w:rsidRDefault="00AC68C0" w:rsidP="00C7233D">
      <w:pPr>
        <w:pStyle w:val="Heading3"/>
      </w:pPr>
      <w:r w:rsidRPr="00791660">
        <w:t>DESCRIPTION</w:t>
      </w:r>
    </w:p>
    <w:p w:rsidR="00AC68C0" w:rsidRPr="00791660" w:rsidRDefault="00AC68C0" w:rsidP="00AC68C0">
      <w:pPr>
        <w:spacing w:after="120"/>
        <w:rPr>
          <w:rFonts w:cs="Calibri"/>
        </w:rPr>
      </w:pPr>
      <w:r w:rsidRPr="00791660">
        <w:rPr>
          <w:rFonts w:cs="Calibri"/>
        </w:rPr>
        <w:t>Patient is instructed by examiner to say as many words that begin with a specific letter of the alphabet as quickly as possible during a 60-second period. Three 60-second trials are given using the letters F-A-S.</w:t>
      </w:r>
      <w:r w:rsidRPr="00791660">
        <w:rPr>
          <w:rFonts w:cs="Calibri"/>
        </w:rPr>
        <w:tab/>
      </w:r>
    </w:p>
    <w:p w:rsidR="00AC68C0" w:rsidRPr="00791660" w:rsidRDefault="00AC68C0" w:rsidP="00C7233D">
      <w:pPr>
        <w:pStyle w:val="Heading3"/>
      </w:pPr>
      <w:r w:rsidRPr="00791660">
        <w:t xml:space="preserve">PERMISSIBLE VALUES </w:t>
      </w:r>
    </w:p>
    <w:p w:rsidR="00AC68C0" w:rsidRPr="00791660" w:rsidRDefault="00AC68C0" w:rsidP="00AC68C0">
      <w:pPr>
        <w:spacing w:after="120"/>
        <w:rPr>
          <w:rFonts w:cs="Calibri"/>
          <w:b/>
        </w:rPr>
      </w:pPr>
      <w:r w:rsidRPr="00791660">
        <w:rPr>
          <w:rFonts w:cs="Calibri"/>
        </w:rPr>
        <w:t>The total correct is t</w:t>
      </w:r>
      <w:r w:rsidR="00C7233D">
        <w:rPr>
          <w:rFonts w:cs="Calibri"/>
        </w:rPr>
        <w:t xml:space="preserve">he sum of all admissible words </w:t>
      </w:r>
    </w:p>
    <w:p w:rsidR="00AC68C0" w:rsidRPr="00791660" w:rsidRDefault="00AC68C0" w:rsidP="00C7233D">
      <w:pPr>
        <w:pStyle w:val="Heading3"/>
      </w:pPr>
      <w:r w:rsidRPr="00791660">
        <w:t xml:space="preserve">PROCEDURES </w:t>
      </w:r>
    </w:p>
    <w:p w:rsidR="00AC68C0" w:rsidRPr="00791660" w:rsidRDefault="004B7CEF" w:rsidP="00AC68C0">
      <w:pPr>
        <w:spacing w:after="120"/>
        <w:rPr>
          <w:rFonts w:cs="Calibri"/>
          <w:b/>
        </w:rPr>
      </w:pPr>
      <w:r w:rsidRPr="00791660">
        <w:rPr>
          <w:rFonts w:cs="Calibri"/>
        </w:rPr>
        <w:t>Trained technician can administer, but neuropsychologist needs to interpret.</w:t>
      </w:r>
      <w:r>
        <w:rPr>
          <w:rFonts w:cs="Calibri"/>
        </w:rPr>
        <w:t xml:space="preserve"> </w:t>
      </w:r>
      <w:r w:rsidR="00AC68C0" w:rsidRPr="00791660">
        <w:rPr>
          <w:rFonts w:cs="Calibri"/>
        </w:rPr>
        <w:t>Administration time is 5 minutes.</w:t>
      </w:r>
    </w:p>
    <w:p w:rsidR="00AC68C0" w:rsidRPr="00791660" w:rsidRDefault="00AC68C0" w:rsidP="00C7233D">
      <w:pPr>
        <w:pStyle w:val="Heading3"/>
      </w:pPr>
      <w:r w:rsidRPr="00791660">
        <w:t>COMMENTS</w:t>
      </w:r>
    </w:p>
    <w:p w:rsidR="00AC68C0" w:rsidRPr="00791660" w:rsidRDefault="00AC68C0" w:rsidP="00AC68C0">
      <w:pPr>
        <w:spacing w:after="120"/>
        <w:rPr>
          <w:rFonts w:cs="Calibri"/>
          <w:b/>
        </w:rPr>
      </w:pPr>
      <w:r w:rsidRPr="00791660">
        <w:rPr>
          <w:rFonts w:cs="Calibri"/>
        </w:rPr>
        <w:t>Can be</w:t>
      </w:r>
      <w:r w:rsidR="00C7233D">
        <w:rPr>
          <w:rFonts w:cs="Calibri"/>
        </w:rPr>
        <w:t xml:space="preserve"> given to persons age 7 to 85. </w:t>
      </w:r>
      <w:r w:rsidRPr="00791660">
        <w:rPr>
          <w:rFonts w:cs="Calibri"/>
        </w:rPr>
        <w:t>Can be used to assess a wide range of impairment but patients should have emerged from post-traumatic amnesia.</w:t>
      </w:r>
    </w:p>
    <w:p w:rsidR="00AC68C0" w:rsidRPr="00791660" w:rsidRDefault="00AC68C0" w:rsidP="00C7233D">
      <w:pPr>
        <w:pStyle w:val="Heading3"/>
      </w:pPr>
      <w:r w:rsidRPr="00791660">
        <w:t>RATIONALE</w:t>
      </w:r>
    </w:p>
    <w:p w:rsidR="00AC68C0" w:rsidRPr="00791660" w:rsidRDefault="00AC68C0" w:rsidP="00AC68C0">
      <w:pPr>
        <w:spacing w:after="120"/>
        <w:rPr>
          <w:rFonts w:cs="Calibri"/>
          <w:b/>
        </w:rPr>
      </w:pPr>
      <w:r w:rsidRPr="00791660">
        <w:rPr>
          <w:rFonts w:cs="Calibri"/>
        </w:rPr>
        <w:t>COWAT i</w:t>
      </w:r>
      <w:r w:rsidR="00C7233D">
        <w:rPr>
          <w:rFonts w:cs="Calibri"/>
        </w:rPr>
        <w:t>s sensitive to severity of TBI.</w:t>
      </w:r>
      <w:r w:rsidRPr="00791660">
        <w:rPr>
          <w:rFonts w:cs="Calibri"/>
        </w:rPr>
        <w:t xml:space="preserve"> A meta-analysis of patients with TBI found that patients with focal frontal (but not temporal) lobe injuries were impaired on tests of phonemic fluency like COWAT.</w:t>
      </w:r>
    </w:p>
    <w:p w:rsidR="00AC68C0" w:rsidRPr="00791660" w:rsidRDefault="00AC68C0" w:rsidP="00C7233D">
      <w:pPr>
        <w:pStyle w:val="Heading3"/>
      </w:pPr>
      <w:r w:rsidRPr="00791660">
        <w:t>REFERENCES</w:t>
      </w:r>
    </w:p>
    <w:p w:rsidR="00AC68C0" w:rsidRPr="00791660" w:rsidRDefault="00C7233D" w:rsidP="00C7233D">
      <w:r>
        <w:t xml:space="preserve">Spreen, O, &amp; Benton, A (1977). </w:t>
      </w:r>
      <w:r w:rsidR="00AC68C0" w:rsidRPr="00791660">
        <w:t>Neurosensory Center Comprehe</w:t>
      </w:r>
      <w:r>
        <w:t xml:space="preserve">nsive Examination for Aphasia. Victoria, BC: </w:t>
      </w:r>
      <w:r w:rsidR="00AC68C0" w:rsidRPr="00791660">
        <w:t>Neuropsychology Laboratory, University of Victoria</w:t>
      </w:r>
    </w:p>
    <w:p w:rsidR="0085772F" w:rsidRPr="00791660" w:rsidRDefault="0085772F" w:rsidP="00C7233D">
      <w:pPr>
        <w:rPr>
          <w:b/>
        </w:rPr>
      </w:pPr>
      <w:r w:rsidRPr="00791660">
        <w:rPr>
          <w:b/>
        </w:rPr>
        <w:br w:type="page"/>
      </w:r>
      <w:r w:rsidRPr="00CD3973">
        <w:rPr>
          <w:b/>
        </w:rPr>
        <w:lastRenderedPageBreak/>
        <w:t>Delis-Kaplan Executive Function System (D-KEFS) Trail Making Test</w:t>
      </w:r>
    </w:p>
    <w:p w:rsidR="0085772F" w:rsidRDefault="0085772F" w:rsidP="00C7233D">
      <w:pPr>
        <w:pStyle w:val="Heading3"/>
      </w:pPr>
      <w:r w:rsidRPr="00791660">
        <w:t>DESCRIPTION:</w:t>
      </w:r>
    </w:p>
    <w:p w:rsidR="004B7CEF" w:rsidRPr="00CD3973" w:rsidRDefault="004B7CEF" w:rsidP="0085772F">
      <w:pPr>
        <w:rPr>
          <w:rFonts w:cs="Calibri"/>
        </w:rPr>
      </w:pPr>
      <w:r w:rsidRPr="00CD3973">
        <w:rPr>
          <w:rFonts w:cs="Calibri"/>
        </w:rPr>
        <w:t xml:space="preserve">The D-KEFS TM </w:t>
      </w:r>
      <w:r w:rsidR="00CD3973" w:rsidRPr="00CD3973">
        <w:rPr>
          <w:rFonts w:cs="Calibri"/>
        </w:rPr>
        <w:t xml:space="preserve">is based on the original Trail Making Test, and includes </w:t>
      </w:r>
      <w:r w:rsidR="00CD3973">
        <w:rPr>
          <w:rFonts w:cs="Calibri"/>
        </w:rPr>
        <w:t>several</w:t>
      </w:r>
      <w:r w:rsidR="00CD3973" w:rsidRPr="00CD3973">
        <w:rPr>
          <w:rFonts w:cs="Calibri"/>
        </w:rPr>
        <w:t xml:space="preserve"> timed tasks where the test-taker employs visuomotor skills to connect a circle. </w:t>
      </w:r>
    </w:p>
    <w:p w:rsidR="0085772F" w:rsidRDefault="0085772F" w:rsidP="00C7233D">
      <w:pPr>
        <w:pStyle w:val="Heading3"/>
      </w:pPr>
      <w:r w:rsidRPr="00791660">
        <w:t>PERMISSIBLE VALUES:</w:t>
      </w:r>
    </w:p>
    <w:p w:rsidR="004B7CEF" w:rsidRPr="00CD3973" w:rsidRDefault="004B7CEF" w:rsidP="0085772F">
      <w:pPr>
        <w:rPr>
          <w:rFonts w:cs="Calibri"/>
        </w:rPr>
      </w:pPr>
      <w:r w:rsidRPr="00CD3973">
        <w:rPr>
          <w:rFonts w:cs="Calibri"/>
        </w:rPr>
        <w:t>Completion times are reported as raw scores and scaled scores (M=10, SD=3). Error analyses are reported as raw scores and cumulative % rank.</w:t>
      </w:r>
    </w:p>
    <w:p w:rsidR="0085772F" w:rsidRDefault="0085772F" w:rsidP="00C7233D">
      <w:pPr>
        <w:pStyle w:val="Heading3"/>
      </w:pPr>
      <w:r w:rsidRPr="00791660">
        <w:t>PROCEDURE:</w:t>
      </w:r>
    </w:p>
    <w:p w:rsidR="004B7CEF" w:rsidRPr="00CD3973" w:rsidRDefault="004B7CEF" w:rsidP="0085772F">
      <w:pPr>
        <w:rPr>
          <w:rFonts w:cs="Calibri"/>
        </w:rPr>
      </w:pPr>
      <w:r w:rsidRPr="00CD3973">
        <w:rPr>
          <w:rFonts w:cs="Calibri"/>
        </w:rPr>
        <w:t>The test takes around 5-10 minutes to administer. Individuals qualified to use the instrument would have a doctorate in psychology, education, or a related field.</w:t>
      </w:r>
    </w:p>
    <w:p w:rsidR="0085772F" w:rsidRDefault="0085772F" w:rsidP="00C7233D">
      <w:pPr>
        <w:pStyle w:val="Heading3"/>
      </w:pPr>
      <w:r w:rsidRPr="00791660">
        <w:t>COMMENTS:</w:t>
      </w:r>
    </w:p>
    <w:p w:rsidR="004B7CEF" w:rsidRPr="00CD3973" w:rsidRDefault="004B7CEF" w:rsidP="0085772F">
      <w:pPr>
        <w:rPr>
          <w:rFonts w:cs="Calibri"/>
        </w:rPr>
      </w:pPr>
      <w:r w:rsidRPr="00CD3973">
        <w:rPr>
          <w:rFonts w:cs="Calibri"/>
        </w:rPr>
        <w:t>The test can be used in individuals 8-89 years.</w:t>
      </w:r>
    </w:p>
    <w:p w:rsidR="0085772F" w:rsidRDefault="0085772F" w:rsidP="00C7233D">
      <w:pPr>
        <w:pStyle w:val="Heading3"/>
      </w:pPr>
      <w:r w:rsidRPr="00791660">
        <w:t>RATIONALE:</w:t>
      </w:r>
    </w:p>
    <w:p w:rsidR="004B7CEF" w:rsidRPr="00CD3973" w:rsidRDefault="00CD3973" w:rsidP="0085772F">
      <w:pPr>
        <w:rPr>
          <w:rFonts w:cs="Calibri"/>
        </w:rPr>
      </w:pPr>
      <w:r w:rsidRPr="00CD3973">
        <w:rPr>
          <w:rFonts w:cs="Calibri"/>
        </w:rPr>
        <w:t>“</w:t>
      </w:r>
      <w:r w:rsidR="004B7CEF" w:rsidRPr="00CD3973">
        <w:rPr>
          <w:rFonts w:cs="Calibri"/>
        </w:rPr>
        <w:t>Trail Making tests have been shown to be sensitive to TBI in children. The D-KEFS TM was selected as a supplementary test because it has been standardized on 1,750 typically developing children 8-19 years old, allowing comparison with D-KEFS Verbal Fluency and providing age-based percentile scores.</w:t>
      </w:r>
      <w:r w:rsidRPr="00CD3973">
        <w:rPr>
          <w:rFonts w:cs="Calibri"/>
        </w:rPr>
        <w:t>”</w:t>
      </w:r>
      <w:r>
        <w:rPr>
          <w:rFonts w:cs="Calibri"/>
        </w:rPr>
        <w:t xml:space="preserve"> – McCauley et al. 2012</w:t>
      </w:r>
    </w:p>
    <w:p w:rsidR="0085772F" w:rsidRDefault="0085772F" w:rsidP="00C7233D">
      <w:pPr>
        <w:pStyle w:val="Heading3"/>
      </w:pPr>
      <w:r w:rsidRPr="00791660">
        <w:t>REFERENCES:</w:t>
      </w:r>
    </w:p>
    <w:p w:rsidR="004B7CEF" w:rsidRPr="00CD3973" w:rsidRDefault="004B7CEF" w:rsidP="004B7CEF">
      <w:pPr>
        <w:rPr>
          <w:rFonts w:cs="Calibri"/>
        </w:rPr>
      </w:pPr>
      <w:r w:rsidRPr="00CD3973">
        <w:rPr>
          <w:rFonts w:cs="Calibri"/>
        </w:rPr>
        <w:t>Delis, D., Kaplan, E., and Kramar, J. (2001). Delis-Kaplan Executive Function System. Pearson Assessment: San Antonio, TX.</w:t>
      </w:r>
    </w:p>
    <w:p w:rsidR="004B7CEF" w:rsidRPr="00CD3973" w:rsidRDefault="004B7CEF" w:rsidP="004B7CEF">
      <w:pPr>
        <w:rPr>
          <w:rFonts w:cs="Calibri"/>
        </w:rPr>
      </w:pPr>
      <w:r w:rsidRPr="00CD3973">
        <w:rPr>
          <w:rFonts w:cs="Calibri"/>
        </w:rPr>
        <w:t>Reitan, R., and Wolfson, D. (1992). Neuropsychological evaluation of older children.Neuropsychology Press.</w:t>
      </w:r>
    </w:p>
    <w:p w:rsidR="0085772F" w:rsidRPr="00791660" w:rsidRDefault="0085772F" w:rsidP="006C4F95">
      <w:pPr>
        <w:pStyle w:val="Heading2"/>
      </w:pPr>
      <w:r w:rsidRPr="00791660">
        <w:br w:type="page"/>
      </w:r>
      <w:r w:rsidRPr="009004A3">
        <w:lastRenderedPageBreak/>
        <w:t>Delis-Kaplan Executive Function System (D-KEFS) Verbal Fluency</w:t>
      </w:r>
    </w:p>
    <w:p w:rsidR="0085772F" w:rsidRDefault="0085772F" w:rsidP="00C7233D">
      <w:pPr>
        <w:pStyle w:val="Heading3"/>
      </w:pPr>
      <w:r w:rsidRPr="00791660">
        <w:t>DESCRIPTION:</w:t>
      </w:r>
    </w:p>
    <w:p w:rsidR="004B7CEF" w:rsidRPr="009004A3" w:rsidRDefault="004B7CEF" w:rsidP="0085772F">
      <w:pPr>
        <w:rPr>
          <w:rFonts w:cs="Calibri"/>
        </w:rPr>
      </w:pPr>
      <w:r w:rsidRPr="009004A3">
        <w:rPr>
          <w:rFonts w:cs="Calibri"/>
        </w:rPr>
        <w:t xml:space="preserve">The D-KEFS VF </w:t>
      </w:r>
      <w:r w:rsidR="009004A3" w:rsidRPr="009004A3">
        <w:rPr>
          <w:rFonts w:cs="Calibri"/>
        </w:rPr>
        <w:t xml:space="preserve">is an executive function test with three conditions: phonemic fluency (child must name words beginning with a certain letter), semantic fluency (child must name words that fall into certain categories), and semantic switching. </w:t>
      </w:r>
      <w:r w:rsidR="008A2CFB">
        <w:rPr>
          <w:rFonts w:cs="Calibri"/>
        </w:rPr>
        <w:t>There are alternate forms for verbal fluency.</w:t>
      </w:r>
    </w:p>
    <w:p w:rsidR="0085772F" w:rsidRDefault="0085772F" w:rsidP="00C7233D">
      <w:pPr>
        <w:pStyle w:val="Heading3"/>
      </w:pPr>
      <w:r w:rsidRPr="00791660">
        <w:t>PERMISSIBLE VALUES:</w:t>
      </w:r>
    </w:p>
    <w:p w:rsidR="004B7CEF" w:rsidRPr="00726888" w:rsidRDefault="004B7CEF" w:rsidP="0085772F">
      <w:pPr>
        <w:rPr>
          <w:rFonts w:cs="Calibri"/>
        </w:rPr>
      </w:pPr>
      <w:r w:rsidRPr="00726888">
        <w:rPr>
          <w:rFonts w:cs="Calibri"/>
        </w:rPr>
        <w:t>Raw scores are converted to scaled scores (M=10, SD=3).</w:t>
      </w:r>
    </w:p>
    <w:p w:rsidR="00726888" w:rsidRDefault="0085772F" w:rsidP="00C7233D">
      <w:pPr>
        <w:pStyle w:val="Heading3"/>
      </w:pPr>
      <w:r w:rsidRPr="00791660">
        <w:t>PROCEDURE:</w:t>
      </w:r>
      <w:r w:rsidR="004B7CEF" w:rsidRPr="004B7CEF">
        <w:t xml:space="preserve"> </w:t>
      </w:r>
    </w:p>
    <w:p w:rsidR="0085772F" w:rsidRPr="00726888" w:rsidRDefault="004B7CEF" w:rsidP="0085772F">
      <w:pPr>
        <w:rPr>
          <w:rFonts w:cs="Calibri"/>
        </w:rPr>
      </w:pPr>
      <w:r w:rsidRPr="00726888">
        <w:rPr>
          <w:rFonts w:cs="Calibri"/>
        </w:rPr>
        <w:t>The D-KEFS is individually administered in a game-like format. The Verbal Fluency Test is one of nine subtests which in their entirety take 90 minutes to complete. Test is to be used only by individuals with a doctorate in psychology, education, or related field.  Administrator must be comfortable scoring and timing simultaneously.</w:t>
      </w:r>
    </w:p>
    <w:p w:rsidR="0085772F" w:rsidRDefault="0085772F" w:rsidP="00C7233D">
      <w:pPr>
        <w:pStyle w:val="Heading3"/>
      </w:pPr>
      <w:r w:rsidRPr="00791660">
        <w:t>COMMENTS:</w:t>
      </w:r>
    </w:p>
    <w:p w:rsidR="004B7CEF" w:rsidRPr="009004A3" w:rsidRDefault="004B7CEF" w:rsidP="0085772F">
      <w:pPr>
        <w:rPr>
          <w:rFonts w:cs="Calibri"/>
        </w:rPr>
      </w:pPr>
      <w:r w:rsidRPr="009004A3">
        <w:rPr>
          <w:rFonts w:cs="Calibri"/>
        </w:rPr>
        <w:t>The D-KEFS VF can be given to children ages 8-19 years.</w:t>
      </w:r>
    </w:p>
    <w:p w:rsidR="0085772F" w:rsidRDefault="0085772F" w:rsidP="00C7233D">
      <w:pPr>
        <w:pStyle w:val="Heading3"/>
      </w:pPr>
      <w:r w:rsidRPr="00791660">
        <w:t>RATIONALE:</w:t>
      </w:r>
    </w:p>
    <w:p w:rsidR="004B7CEF" w:rsidRPr="009004A3" w:rsidRDefault="009004A3" w:rsidP="0085772F">
      <w:pPr>
        <w:rPr>
          <w:rFonts w:cs="Calibri"/>
        </w:rPr>
      </w:pPr>
      <w:r>
        <w:rPr>
          <w:rFonts w:cs="Calibri"/>
        </w:rPr>
        <w:t>“</w:t>
      </w:r>
      <w:r w:rsidR="004B7CEF" w:rsidRPr="009004A3">
        <w:rPr>
          <w:rFonts w:cs="Calibri"/>
        </w:rPr>
        <w:t xml:space="preserve">The D-KEFS VF was selected </w:t>
      </w:r>
      <w:r w:rsidRPr="009004A3">
        <w:rPr>
          <w:rFonts w:cs="Calibri"/>
        </w:rPr>
        <w:t xml:space="preserve">… </w:t>
      </w:r>
      <w:r w:rsidR="004B7CEF" w:rsidRPr="009004A3">
        <w:rPr>
          <w:rFonts w:cs="Calibri"/>
        </w:rPr>
        <w:t xml:space="preserve">because verbal fluency has been shown to be sensitive to TBI severity and to focal left frontal lesions and because all of the D-KEFS tests were standardized on normative data for 1,750 typically developing children. </w:t>
      </w:r>
      <w:r>
        <w:rPr>
          <w:rFonts w:cs="Calibri"/>
        </w:rPr>
        <w:t xml:space="preserve">… </w:t>
      </w:r>
      <w:r w:rsidR="004B7CEF" w:rsidRPr="009004A3">
        <w:rPr>
          <w:rFonts w:cs="Calibri"/>
        </w:rPr>
        <w:t xml:space="preserve">The integration of verbal fluency with semantic fluency and the switching condition also potentially enhances the usefulness of the D-KEFS VF as a </w:t>
      </w:r>
      <w:r>
        <w:rPr>
          <w:rFonts w:cs="Calibri"/>
        </w:rPr>
        <w:t>measure of executive function.” – McCauley et al. 2012</w:t>
      </w:r>
    </w:p>
    <w:p w:rsidR="0085772F" w:rsidRDefault="0085772F" w:rsidP="00C7233D">
      <w:pPr>
        <w:pStyle w:val="Heading3"/>
      </w:pPr>
      <w:r w:rsidRPr="00791660">
        <w:t>REFERENCES:</w:t>
      </w:r>
    </w:p>
    <w:p w:rsidR="004B7CEF" w:rsidRPr="009004A3" w:rsidRDefault="004B7CEF" w:rsidP="004B7CEF">
      <w:pPr>
        <w:rPr>
          <w:rFonts w:cs="Calibri"/>
        </w:rPr>
      </w:pPr>
      <w:r w:rsidRPr="009004A3">
        <w:rPr>
          <w:rFonts w:cs="Calibri"/>
        </w:rPr>
        <w:t>Delis, D., Kaplan, E., and Kramar, J. (2001). Delis-Kaplan Executive Function System. Pearson Assessment: San Antonio, TX.</w:t>
      </w:r>
    </w:p>
    <w:p w:rsidR="004B7CEF" w:rsidRPr="009004A3" w:rsidRDefault="004B7CEF" w:rsidP="004B7CEF">
      <w:pPr>
        <w:rPr>
          <w:rFonts w:cs="Calibri"/>
        </w:rPr>
      </w:pPr>
      <w:r w:rsidRPr="009004A3">
        <w:rPr>
          <w:rFonts w:cs="Calibri"/>
        </w:rPr>
        <w:t>Levin, H., Song, J., Ewing-Cobbs, L., Chapman, J., and Mendelsohn, D. (2001). Word fluency in relation to severity of closed head injury, associated frontal brain lesions, and age injury in children. Neuropsychologia 39(2), 122-131.</w:t>
      </w:r>
    </w:p>
    <w:p w:rsidR="004B7CEF" w:rsidRPr="009004A3" w:rsidRDefault="004B7CEF" w:rsidP="004B7CEF">
      <w:pPr>
        <w:rPr>
          <w:rFonts w:cs="Calibri"/>
        </w:rPr>
      </w:pPr>
      <w:r w:rsidRPr="009004A3">
        <w:rPr>
          <w:rFonts w:cs="Calibri"/>
        </w:rPr>
        <w:t>Strong, C., Tiesma, D., and Donders, J. (2010). Criterion Validity of the Delis-Kaplan Executive Function System (D-KEFS) Fluency Subtests after traumatic brain injury. J Int Neuropsychol Soc, 1-8</w:t>
      </w:r>
    </w:p>
    <w:p w:rsidR="004B7CEF" w:rsidRPr="009004A3" w:rsidRDefault="004B7CEF" w:rsidP="00C7233D">
      <w:r w:rsidRPr="009004A3">
        <w:t>Ziviani, J., Ottenbacher, K., Shephard, K., Foreman, S., Astbury, W., and Ireland, P. (2001). Concurrent validity of the Functional Independence Measure for Children (WeeFIM) and the Pediatric Evaluation</w:t>
      </w:r>
      <w:r w:rsidRPr="004B7CEF">
        <w:rPr>
          <w:b/>
        </w:rPr>
        <w:t xml:space="preserve"> </w:t>
      </w:r>
      <w:r w:rsidRPr="009004A3">
        <w:t>of Disabilities Inventory in children with developmental disabilities and acquired brain injuries. Phys Occup Ther Pediatr 21(2-3), 91-101.</w:t>
      </w:r>
    </w:p>
    <w:p w:rsidR="0085772F" w:rsidRPr="00791660" w:rsidRDefault="0085772F" w:rsidP="00C7233D">
      <w:pPr>
        <w:rPr>
          <w:b/>
        </w:rPr>
      </w:pPr>
      <w:r w:rsidRPr="00791660">
        <w:rPr>
          <w:b/>
        </w:rPr>
        <w:lastRenderedPageBreak/>
        <w:br w:type="page"/>
      </w:r>
      <w:r w:rsidRPr="00C902D7">
        <w:rPr>
          <w:b/>
        </w:rPr>
        <w:lastRenderedPageBreak/>
        <w:t>Eriksen Flanker Test</w:t>
      </w:r>
      <w:r w:rsidRPr="00791660">
        <w:rPr>
          <w:b/>
        </w:rPr>
        <w:t xml:space="preserve"> </w:t>
      </w:r>
    </w:p>
    <w:p w:rsidR="0085772F" w:rsidRDefault="0085772F" w:rsidP="00C7233D">
      <w:pPr>
        <w:pStyle w:val="Heading3"/>
      </w:pPr>
      <w:r w:rsidRPr="00791660">
        <w:t>DESCRIPTION:</w:t>
      </w:r>
    </w:p>
    <w:p w:rsidR="004B7CEF" w:rsidRPr="00791660" w:rsidRDefault="004B7CEF" w:rsidP="0085772F">
      <w:pPr>
        <w:rPr>
          <w:rFonts w:cs="Calibri"/>
          <w:b/>
        </w:rPr>
      </w:pPr>
      <w:r w:rsidRPr="00C902D7">
        <w:rPr>
          <w:rFonts w:cs="Calibri"/>
        </w:rPr>
        <w:t xml:space="preserve">The Eriksen Flanker Test is a computer-based </w:t>
      </w:r>
      <w:r w:rsidR="00C902D7" w:rsidRPr="00C902D7">
        <w:rPr>
          <w:rFonts w:cs="Calibri"/>
        </w:rPr>
        <w:t xml:space="preserve">test. </w:t>
      </w:r>
      <w:r w:rsidR="00C902D7">
        <w:rPr>
          <w:rFonts w:cs="Calibri"/>
        </w:rPr>
        <w:t xml:space="preserve">Arrow stimuli appear on the screen and either </w:t>
      </w:r>
      <w:r w:rsidR="008A2CFB">
        <w:rPr>
          <w:rFonts w:cs="Calibri"/>
        </w:rPr>
        <w:t>appear</w:t>
      </w:r>
      <w:r w:rsidR="00C902D7">
        <w:rPr>
          <w:rFonts w:cs="Calibri"/>
        </w:rPr>
        <w:t xml:space="preserve"> alone or are flanked by arrows that either point in the same direction or the opposite direction to the target arrow. Response inhibition is compared between the two test conditions. </w:t>
      </w:r>
    </w:p>
    <w:p w:rsidR="0085772F" w:rsidRDefault="0085772F" w:rsidP="00C7233D">
      <w:pPr>
        <w:pStyle w:val="Heading3"/>
      </w:pPr>
      <w:r w:rsidRPr="00791660">
        <w:t>PERMISSIBLE VALUES:</w:t>
      </w:r>
    </w:p>
    <w:p w:rsidR="004B7CEF" w:rsidRPr="009004A3" w:rsidRDefault="004B7CEF" w:rsidP="0085772F">
      <w:pPr>
        <w:rPr>
          <w:rFonts w:cs="Calibri"/>
        </w:rPr>
      </w:pPr>
      <w:r w:rsidRPr="009004A3">
        <w:rPr>
          <w:rFonts w:cs="Calibri"/>
        </w:rPr>
        <w:t>The variable of interest is the subject's reaction time.</w:t>
      </w:r>
    </w:p>
    <w:p w:rsidR="0085772F" w:rsidRDefault="0085772F" w:rsidP="00C7233D">
      <w:pPr>
        <w:pStyle w:val="Heading3"/>
      </w:pPr>
      <w:r w:rsidRPr="00791660">
        <w:t>PROCEDURE:</w:t>
      </w:r>
    </w:p>
    <w:p w:rsidR="004B7CEF" w:rsidRPr="009004A3" w:rsidRDefault="004B7CEF" w:rsidP="0085772F">
      <w:pPr>
        <w:rPr>
          <w:rFonts w:cs="Calibri"/>
        </w:rPr>
      </w:pPr>
      <w:r w:rsidRPr="009004A3">
        <w:rPr>
          <w:rFonts w:cs="Calibri"/>
        </w:rPr>
        <w:t>There are no restrictions on use/interpretation of this test.</w:t>
      </w:r>
    </w:p>
    <w:p w:rsidR="0085772F" w:rsidRDefault="0085772F" w:rsidP="00C7233D">
      <w:pPr>
        <w:pStyle w:val="Heading3"/>
      </w:pPr>
      <w:r w:rsidRPr="00791660">
        <w:t>COMMENTS:</w:t>
      </w:r>
    </w:p>
    <w:p w:rsidR="004B7CEF" w:rsidRPr="009004A3" w:rsidRDefault="004B7CEF" w:rsidP="0085772F">
      <w:pPr>
        <w:rPr>
          <w:rFonts w:cs="Calibri"/>
        </w:rPr>
      </w:pPr>
      <w:r w:rsidRPr="009004A3">
        <w:rPr>
          <w:rFonts w:cs="Calibri"/>
        </w:rPr>
        <w:t>The Eriksen Flanker task has not been normed to any specific ages.</w:t>
      </w:r>
    </w:p>
    <w:p w:rsidR="0085772F" w:rsidRDefault="0085772F" w:rsidP="00C7233D">
      <w:pPr>
        <w:pStyle w:val="Heading3"/>
      </w:pPr>
      <w:r w:rsidRPr="00791660">
        <w:t>REFERENCES:</w:t>
      </w:r>
    </w:p>
    <w:p w:rsidR="004B7CEF" w:rsidRPr="009004A3" w:rsidRDefault="004B7CEF" w:rsidP="004B7CEF">
      <w:pPr>
        <w:rPr>
          <w:rFonts w:cs="Calibri"/>
        </w:rPr>
      </w:pPr>
      <w:r w:rsidRPr="009004A3">
        <w:rPr>
          <w:rFonts w:cs="Calibri"/>
        </w:rPr>
        <w:t>Eriksen, B., and Eriksen, C. (1974). Effects of noise letters upon identification of a target letter in a nonsearch task. Percept Psychophys 16, 143-149.</w:t>
      </w:r>
    </w:p>
    <w:p w:rsidR="004B7CEF" w:rsidRPr="009004A3" w:rsidRDefault="004B7CEF" w:rsidP="00C7233D">
      <w:r w:rsidRPr="009004A3">
        <w:t>Levin, H., Hanten, G., Zhang, L., Swank, P., and Hunter, J. (2004). Selective impairment of inhibition after TBI in children. J Clin Exp Neuropsychol 26(5), 589-597.</w:t>
      </w:r>
    </w:p>
    <w:p w:rsidR="0085772F" w:rsidRPr="00C33664" w:rsidRDefault="0085772F" w:rsidP="00AD54D0">
      <w:pPr>
        <w:pStyle w:val="Heading2"/>
      </w:pPr>
      <w:r w:rsidRPr="00791660">
        <w:br w:type="page"/>
      </w:r>
      <w:r w:rsidRPr="00C33664">
        <w:lastRenderedPageBreak/>
        <w:t>Functional Assessment of Verbal Reasoning and Executiv</w:t>
      </w:r>
      <w:r w:rsidR="006C4F95">
        <w:t>e Strategies – Student Version –(</w:t>
      </w:r>
      <w:r w:rsidRPr="00C33664">
        <w:t>S</w:t>
      </w:r>
      <w:r w:rsidR="006C4F95">
        <w:t>-</w:t>
      </w:r>
      <w:r w:rsidR="006C4F95" w:rsidRPr="006C4F95">
        <w:t xml:space="preserve"> </w:t>
      </w:r>
      <w:r w:rsidR="006C4F95" w:rsidRPr="00C33664">
        <w:t>FAVRES</w:t>
      </w:r>
      <w:r w:rsidRPr="00C33664">
        <w:t xml:space="preserve">) </w:t>
      </w:r>
    </w:p>
    <w:p w:rsidR="0085772F" w:rsidRDefault="0085772F" w:rsidP="00C7233D">
      <w:pPr>
        <w:pStyle w:val="Heading3"/>
      </w:pPr>
      <w:r w:rsidRPr="00C33664">
        <w:t>DESCRIPTION:</w:t>
      </w:r>
    </w:p>
    <w:p w:rsidR="004B7CEF" w:rsidRPr="00C33664" w:rsidRDefault="00C33664" w:rsidP="0085772F">
      <w:pPr>
        <w:rPr>
          <w:rFonts w:cs="Calibri"/>
        </w:rPr>
      </w:pPr>
      <w:r>
        <w:rPr>
          <w:rFonts w:cs="Calibri"/>
        </w:rPr>
        <w:t>The S</w:t>
      </w:r>
      <w:r w:rsidR="00AD54D0">
        <w:rPr>
          <w:rFonts w:cs="Calibri"/>
        </w:rPr>
        <w:t>-</w:t>
      </w:r>
      <w:r w:rsidR="00AD54D0" w:rsidRPr="00AD54D0">
        <w:rPr>
          <w:rFonts w:cs="Calibri"/>
        </w:rPr>
        <w:t xml:space="preserve"> </w:t>
      </w:r>
      <w:r w:rsidR="00AD54D0">
        <w:rPr>
          <w:rFonts w:cs="Calibri"/>
        </w:rPr>
        <w:t>FAVRES</w:t>
      </w:r>
      <w:r>
        <w:rPr>
          <w:rFonts w:cs="Calibri"/>
        </w:rPr>
        <w:t xml:space="preserve"> measures a child’s reasoning skills by presenting him/her with everyday scenarios that the child must respond to orally or in writing. </w:t>
      </w:r>
      <w:r w:rsidRPr="00C33664">
        <w:rPr>
          <w:rFonts w:cs="Calibri"/>
        </w:rPr>
        <w:t>Standard scores and the following subscale scores are computed: 1) getting the facts; 2) eliminating irrelevant material; 3) weighing facts; 4) flexibility; 5) predicting consequences; and 6) a total reasoning score.</w:t>
      </w:r>
    </w:p>
    <w:p w:rsidR="0085772F" w:rsidRDefault="0085772F" w:rsidP="00C7233D">
      <w:pPr>
        <w:pStyle w:val="Heading3"/>
      </w:pPr>
      <w:r w:rsidRPr="00791660">
        <w:t>PERMISSIBLE VALUES:</w:t>
      </w:r>
    </w:p>
    <w:p w:rsidR="004B7CEF" w:rsidRPr="00581FF8" w:rsidRDefault="004B7CEF" w:rsidP="0085772F">
      <w:pPr>
        <w:rPr>
          <w:rFonts w:cs="Calibri"/>
        </w:rPr>
      </w:pPr>
      <w:r w:rsidRPr="00581FF8">
        <w:rPr>
          <w:rFonts w:cs="Calibri"/>
        </w:rPr>
        <w:t xml:space="preserve">Time to complete, accuracy of solution (0-5), and quality of rationale (0-5) provided are measured on each the </w:t>
      </w:r>
      <w:r w:rsidR="00AD54D0">
        <w:rPr>
          <w:rFonts w:cs="Calibri"/>
        </w:rPr>
        <w:t>S-</w:t>
      </w:r>
      <w:r w:rsidRPr="00581FF8">
        <w:rPr>
          <w:rFonts w:cs="Calibri"/>
        </w:rPr>
        <w:t>FAVRES tasks. Total test scores for time, accuracy, and reasons are calculated as the sum of each of the four subtests. Normative data for the adult version are available for comparison with the subject's score.</w:t>
      </w:r>
    </w:p>
    <w:p w:rsidR="0085772F" w:rsidRDefault="0085772F" w:rsidP="00C7233D">
      <w:pPr>
        <w:pStyle w:val="Heading3"/>
      </w:pPr>
      <w:r w:rsidRPr="00791660">
        <w:t>PROCEDURE:</w:t>
      </w:r>
    </w:p>
    <w:p w:rsidR="004B7CEF" w:rsidRPr="00581FF8" w:rsidRDefault="004B7CEF" w:rsidP="0085772F">
      <w:pPr>
        <w:rPr>
          <w:rFonts w:cs="Calibri"/>
        </w:rPr>
      </w:pPr>
      <w:r w:rsidRPr="00581FF8">
        <w:rPr>
          <w:rFonts w:cs="Calibri"/>
        </w:rPr>
        <w:t>The test is individually administered and subjects note their responses in response booklets.</w:t>
      </w:r>
      <w:r w:rsidR="00C33664">
        <w:rPr>
          <w:rFonts w:cs="Calibri"/>
        </w:rPr>
        <w:t xml:space="preserve"> Takes approximately 60 minutes to complete.</w:t>
      </w:r>
    </w:p>
    <w:p w:rsidR="0085772F" w:rsidRDefault="0085772F" w:rsidP="00C7233D">
      <w:pPr>
        <w:pStyle w:val="Heading3"/>
      </w:pPr>
      <w:r w:rsidRPr="00791660">
        <w:t>COMMENTS:</w:t>
      </w:r>
    </w:p>
    <w:p w:rsidR="004B7CEF" w:rsidRPr="00581FF8" w:rsidRDefault="004B7CEF" w:rsidP="0085772F">
      <w:pPr>
        <w:rPr>
          <w:rFonts w:cs="Calibri"/>
        </w:rPr>
      </w:pPr>
      <w:r w:rsidRPr="00581FF8">
        <w:rPr>
          <w:rFonts w:cs="Calibri"/>
        </w:rPr>
        <w:t xml:space="preserve">The test is specifically for populations with acquired brain injury.  </w:t>
      </w:r>
    </w:p>
    <w:p w:rsidR="0085772F" w:rsidRDefault="0085772F" w:rsidP="00C7233D">
      <w:pPr>
        <w:pStyle w:val="Heading3"/>
      </w:pPr>
      <w:r w:rsidRPr="00791660">
        <w:t>RATIONALE:</w:t>
      </w:r>
    </w:p>
    <w:p w:rsidR="004B7CEF" w:rsidRPr="00581FF8" w:rsidRDefault="00581FF8" w:rsidP="0085772F">
      <w:pPr>
        <w:rPr>
          <w:rFonts w:cs="Calibri"/>
        </w:rPr>
      </w:pPr>
      <w:r w:rsidRPr="00581FF8">
        <w:rPr>
          <w:rFonts w:cs="Calibri"/>
        </w:rPr>
        <w:t>“</w:t>
      </w:r>
      <w:r w:rsidR="004B7CEF" w:rsidRPr="00581FF8">
        <w:rPr>
          <w:rFonts w:cs="Calibri"/>
        </w:rPr>
        <w:t>The FAVRES is sensitive to impairments in high-functioning individuals. The adult version of the FAVRES has been shown to discriminate well those with TBI from typically-developing individuals and also has been validated in relation to return to work.</w:t>
      </w:r>
      <w:r>
        <w:rPr>
          <w:rFonts w:cs="Calibri"/>
        </w:rPr>
        <w:t>” – McCauley et al. 2012</w:t>
      </w:r>
    </w:p>
    <w:p w:rsidR="0085772F" w:rsidRDefault="0085772F" w:rsidP="00C7233D">
      <w:pPr>
        <w:pStyle w:val="Heading3"/>
      </w:pPr>
      <w:r w:rsidRPr="00791660">
        <w:t>REFERENCES:</w:t>
      </w:r>
    </w:p>
    <w:p w:rsidR="004B7CEF" w:rsidRPr="00581FF8" w:rsidRDefault="004B7CEF" w:rsidP="0085772F">
      <w:pPr>
        <w:rPr>
          <w:rFonts w:cs="Calibri"/>
        </w:rPr>
      </w:pPr>
      <w:r w:rsidRPr="00581FF8">
        <w:rPr>
          <w:rFonts w:cs="Calibri"/>
        </w:rPr>
        <w:t>MacDonald S. Functional Assessment of Verbal Reasoning and Executive Strategies. Guelph, Canada: Clinical Publishing; 1998</w:t>
      </w:r>
    </w:p>
    <w:p w:rsidR="0085772F" w:rsidRPr="00791660" w:rsidRDefault="0085772F" w:rsidP="006C4F95">
      <w:pPr>
        <w:pStyle w:val="Heading2"/>
      </w:pPr>
      <w:r w:rsidRPr="00791660">
        <w:br w:type="page"/>
      </w:r>
      <w:r w:rsidRPr="00A86E55">
        <w:lastRenderedPageBreak/>
        <w:t>Grooved Pegboard Test</w:t>
      </w:r>
    </w:p>
    <w:p w:rsidR="0085772F" w:rsidRPr="00791660" w:rsidRDefault="0085772F" w:rsidP="00C7233D">
      <w:pPr>
        <w:pStyle w:val="Heading3"/>
      </w:pPr>
      <w:r w:rsidRPr="00791660">
        <w:t>DESCRIPTION</w:t>
      </w:r>
    </w:p>
    <w:p w:rsidR="0085772F" w:rsidRPr="00791660" w:rsidRDefault="0085772F" w:rsidP="0085772F">
      <w:pPr>
        <w:rPr>
          <w:rFonts w:cs="Calibri"/>
        </w:rPr>
      </w:pPr>
      <w:r w:rsidRPr="00791660">
        <w:rPr>
          <w:rFonts w:cs="Calibri"/>
        </w:rPr>
        <w:t>Timed placement of 25 pegs with the dominant hand followed by the non-dominant h</w:t>
      </w:r>
      <w:r w:rsidR="00C7233D">
        <w:rPr>
          <w:rFonts w:cs="Calibri"/>
        </w:rPr>
        <w:t>and</w:t>
      </w:r>
    </w:p>
    <w:p w:rsidR="0085772F" w:rsidRPr="00791660" w:rsidRDefault="0085772F" w:rsidP="00C7233D">
      <w:pPr>
        <w:pStyle w:val="Heading3"/>
      </w:pPr>
      <w:r w:rsidRPr="00791660">
        <w:t xml:space="preserve">PERMISSIBLE VALUES </w:t>
      </w:r>
    </w:p>
    <w:p w:rsidR="0085772F" w:rsidRPr="00791660" w:rsidRDefault="0085772F" w:rsidP="0085772F">
      <w:pPr>
        <w:rPr>
          <w:rFonts w:cs="Calibri"/>
        </w:rPr>
      </w:pPr>
      <w:r w:rsidRPr="00791660">
        <w:rPr>
          <w:rFonts w:cs="Calibri"/>
        </w:rPr>
        <w:t>Raw score: Seconds require</w:t>
      </w:r>
      <w:r w:rsidR="00C7233D">
        <w:rPr>
          <w:rFonts w:cs="Calibri"/>
        </w:rPr>
        <w:t>d for each hand, T Score: 1-99.</w:t>
      </w:r>
    </w:p>
    <w:p w:rsidR="0085772F" w:rsidRPr="00791660" w:rsidRDefault="0085772F" w:rsidP="00C7233D">
      <w:pPr>
        <w:pStyle w:val="Heading3"/>
      </w:pPr>
      <w:r w:rsidRPr="00791660">
        <w:t xml:space="preserve">PROCEDURES </w:t>
      </w:r>
    </w:p>
    <w:p w:rsidR="0085772F" w:rsidRPr="00791660" w:rsidRDefault="0085772F" w:rsidP="0085772F">
      <w:pPr>
        <w:rPr>
          <w:rFonts w:cs="Calibri"/>
        </w:rPr>
      </w:pPr>
      <w:r w:rsidRPr="00791660">
        <w:rPr>
          <w:rFonts w:cs="Calibri"/>
        </w:rPr>
        <w:t>Requires hand use and visual acuity. Minimal training required. Administrat</w:t>
      </w:r>
      <w:r w:rsidR="00C7233D">
        <w:rPr>
          <w:rFonts w:cs="Calibri"/>
        </w:rPr>
        <w:t>ion time is 10 minutes maximum.</w:t>
      </w:r>
    </w:p>
    <w:p w:rsidR="0085772F" w:rsidRPr="00791660" w:rsidRDefault="0085772F" w:rsidP="00C7233D">
      <w:pPr>
        <w:pStyle w:val="Heading3"/>
      </w:pPr>
      <w:r w:rsidRPr="00791660">
        <w:t>COMMENTS</w:t>
      </w:r>
    </w:p>
    <w:p w:rsidR="0085772F" w:rsidRPr="00791660" w:rsidRDefault="00C7233D" w:rsidP="0085772F">
      <w:pPr>
        <w:spacing w:after="120"/>
        <w:rPr>
          <w:rFonts w:cs="Calibri"/>
        </w:rPr>
      </w:pPr>
      <w:r>
        <w:rPr>
          <w:rFonts w:cs="Calibri"/>
        </w:rPr>
        <w:t>Adults 20-85</w:t>
      </w:r>
    </w:p>
    <w:p w:rsidR="0085772F" w:rsidRPr="00791660" w:rsidRDefault="0085772F" w:rsidP="00C7233D">
      <w:pPr>
        <w:pStyle w:val="Heading3"/>
      </w:pPr>
      <w:r w:rsidRPr="00791660">
        <w:t>RATIONALE</w:t>
      </w:r>
    </w:p>
    <w:p w:rsidR="0085772F" w:rsidRPr="00791660" w:rsidRDefault="0085772F" w:rsidP="0085772F">
      <w:pPr>
        <w:spacing w:after="120"/>
        <w:rPr>
          <w:rFonts w:cs="Calibri"/>
          <w:b/>
        </w:rPr>
      </w:pPr>
      <w:r w:rsidRPr="00791660">
        <w:rPr>
          <w:rFonts w:cs="Calibri"/>
        </w:rPr>
        <w:t xml:space="preserve">The GPT is a widely used test of fine motor skill that has proven </w:t>
      </w:r>
      <w:r w:rsidR="00C7233D">
        <w:rPr>
          <w:rFonts w:cs="Calibri"/>
        </w:rPr>
        <w:t>sensitive to the effects of TBI</w:t>
      </w:r>
    </w:p>
    <w:p w:rsidR="0085772F" w:rsidRPr="00791660" w:rsidRDefault="0085772F" w:rsidP="00C7233D">
      <w:pPr>
        <w:pStyle w:val="Heading3"/>
      </w:pPr>
      <w:r w:rsidRPr="00791660">
        <w:t>REFERENCES</w:t>
      </w:r>
    </w:p>
    <w:p w:rsidR="0085772F" w:rsidRPr="00791660" w:rsidRDefault="0085772F" w:rsidP="0085772F">
      <w:pPr>
        <w:rPr>
          <w:rFonts w:cs="Calibri"/>
        </w:rPr>
      </w:pPr>
      <w:r w:rsidRPr="00791660">
        <w:rPr>
          <w:rFonts w:cs="Calibri"/>
        </w:rPr>
        <w:t>Heaton, R.K., Miller, S.W., Taylor, M.J., Grant, I. (2004) Revised Comprehensive Norms for an Expanded Halstead-Reitan Battery: Demographically Adjusted Neuropsychological Norms for African American and Caucasian Adults Profession Manual. Lutx, FL: Psychological Assessment Resources</w:t>
      </w:r>
    </w:p>
    <w:p w:rsidR="00AC68C0" w:rsidRPr="00791660" w:rsidRDefault="00B7123A" w:rsidP="006C4F95">
      <w:pPr>
        <w:pStyle w:val="Heading2"/>
      </w:pPr>
      <w:r w:rsidRPr="00791660">
        <w:br w:type="page"/>
      </w:r>
      <w:r w:rsidR="00AC68C0" w:rsidRPr="00A86E55">
        <w:lastRenderedPageBreak/>
        <w:t>NIH Toolbox Cognitive Battery</w:t>
      </w:r>
    </w:p>
    <w:p w:rsidR="00AC68C0" w:rsidRPr="00791660" w:rsidRDefault="00AC68C0" w:rsidP="00C7233D">
      <w:pPr>
        <w:pStyle w:val="Heading3"/>
      </w:pPr>
      <w:r w:rsidRPr="00791660">
        <w:t>DESCRIPTION</w:t>
      </w:r>
    </w:p>
    <w:p w:rsidR="00AC68C0" w:rsidRPr="00791660" w:rsidRDefault="00AC68C0" w:rsidP="00AC68C0">
      <w:pPr>
        <w:rPr>
          <w:rFonts w:cs="Calibri"/>
        </w:rPr>
      </w:pPr>
      <w:r w:rsidRPr="00791660">
        <w:rPr>
          <w:rFonts w:cs="Calibri"/>
        </w:rPr>
        <w:t xml:space="preserve">Validation version contains 8 new </w:t>
      </w:r>
      <w:r w:rsidR="00426588" w:rsidRPr="00791660">
        <w:rPr>
          <w:rFonts w:cs="Calibri"/>
        </w:rPr>
        <w:t>tests designed</w:t>
      </w:r>
      <w:r w:rsidRPr="00791660">
        <w:rPr>
          <w:rFonts w:cs="Calibri"/>
        </w:rPr>
        <w:t xml:space="preserve"> to measure unique domains of cognitive functioning (Episodic Memory, Reading, Vocabulary, Processing Speed, Working Memory, Execu</w:t>
      </w:r>
      <w:r w:rsidR="00C7233D">
        <w:rPr>
          <w:rFonts w:cs="Calibri"/>
        </w:rPr>
        <w:t xml:space="preserve">tive Function, and Attention). </w:t>
      </w:r>
    </w:p>
    <w:p w:rsidR="00AC68C0" w:rsidRPr="00791660" w:rsidRDefault="00AC68C0" w:rsidP="00C7233D">
      <w:pPr>
        <w:pStyle w:val="Heading3"/>
      </w:pPr>
      <w:r w:rsidRPr="00791660">
        <w:t xml:space="preserve">PERMISSIBLE VALUES </w:t>
      </w:r>
    </w:p>
    <w:p w:rsidR="003D1E85" w:rsidRPr="00791660" w:rsidRDefault="003D1E85" w:rsidP="00AC68C0">
      <w:pPr>
        <w:spacing w:after="120"/>
        <w:rPr>
          <w:rFonts w:cs="Calibri"/>
          <w:b/>
        </w:rPr>
      </w:pPr>
      <w:r w:rsidRPr="00791660">
        <w:rPr>
          <w:rFonts w:cs="Calibri"/>
        </w:rPr>
        <w:t xml:space="preserve">Under development - Likely will </w:t>
      </w:r>
      <w:r w:rsidR="00426588" w:rsidRPr="00791660">
        <w:rPr>
          <w:rFonts w:cs="Calibri"/>
        </w:rPr>
        <w:t>have T</w:t>
      </w:r>
      <w:r w:rsidR="00C7233D">
        <w:rPr>
          <w:rFonts w:cs="Calibri"/>
        </w:rPr>
        <w:t xml:space="preserve"> scores for all scales.</w:t>
      </w:r>
    </w:p>
    <w:p w:rsidR="00AC68C0" w:rsidRPr="00791660" w:rsidRDefault="00AC68C0" w:rsidP="00C7233D">
      <w:pPr>
        <w:pStyle w:val="Heading3"/>
      </w:pPr>
      <w:r w:rsidRPr="00791660">
        <w:t xml:space="preserve">PROCEDURES </w:t>
      </w:r>
    </w:p>
    <w:p w:rsidR="003D1E85" w:rsidRPr="00791660" w:rsidRDefault="003D1E85" w:rsidP="00AC68C0">
      <w:pPr>
        <w:spacing w:after="120"/>
        <w:rPr>
          <w:rFonts w:cs="Calibri"/>
          <w:b/>
        </w:rPr>
      </w:pPr>
      <w:r w:rsidRPr="00791660">
        <w:rPr>
          <w:rFonts w:cs="Calibri"/>
        </w:rPr>
        <w:t>The battery is administered on a touchscreen computer with the assistance of a technician. Technician will read inst</w:t>
      </w:r>
      <w:r w:rsidR="007F7EC4">
        <w:rPr>
          <w:rFonts w:cs="Calibri"/>
        </w:rPr>
        <w:t xml:space="preserve">ructions and administer items. </w:t>
      </w:r>
      <w:r w:rsidRPr="00791660">
        <w:rPr>
          <w:rFonts w:cs="Calibri"/>
        </w:rPr>
        <w:t xml:space="preserve">Touch screen computer will record </w:t>
      </w:r>
      <w:r w:rsidR="007F7EC4">
        <w:rPr>
          <w:rFonts w:cs="Calibri"/>
        </w:rPr>
        <w:t xml:space="preserve">responses and computer scored. </w:t>
      </w:r>
      <w:r w:rsidRPr="00791660">
        <w:rPr>
          <w:rFonts w:cs="Calibri"/>
        </w:rPr>
        <w:t>Administration time for the cognitive domain = &lt; 30 minutes).</w:t>
      </w:r>
      <w:r w:rsidRPr="00791660">
        <w:rPr>
          <w:rFonts w:cs="Calibri"/>
        </w:rPr>
        <w:tab/>
      </w:r>
    </w:p>
    <w:p w:rsidR="00AC68C0" w:rsidRPr="00791660" w:rsidRDefault="00AC68C0" w:rsidP="00C7233D">
      <w:pPr>
        <w:pStyle w:val="Heading3"/>
      </w:pPr>
      <w:r w:rsidRPr="00791660">
        <w:t>COMMENTS</w:t>
      </w:r>
    </w:p>
    <w:p w:rsidR="003D1E85" w:rsidRPr="00791660" w:rsidRDefault="003D1E85" w:rsidP="00AC68C0">
      <w:pPr>
        <w:spacing w:after="120"/>
        <w:rPr>
          <w:rFonts w:cs="Calibri"/>
          <w:b/>
        </w:rPr>
      </w:pPr>
      <w:r w:rsidRPr="00791660">
        <w:rPr>
          <w:rFonts w:cs="Calibri"/>
        </w:rPr>
        <w:t xml:space="preserve">The battery is designed to be used with ages 3 to 85. Should be able to examine broad range of function </w:t>
      </w:r>
      <w:r w:rsidR="00426588" w:rsidRPr="00791660">
        <w:rPr>
          <w:rFonts w:cs="Calibri"/>
        </w:rPr>
        <w:t>but functional</w:t>
      </w:r>
      <w:r w:rsidRPr="00791660">
        <w:rPr>
          <w:rFonts w:cs="Calibri"/>
        </w:rPr>
        <w:t xml:space="preserve"> level of at least severe disability on the GOS/GOSE would be needed. Has </w:t>
      </w:r>
      <w:r w:rsidR="00C7233D">
        <w:rPr>
          <w:rFonts w:cs="Calibri"/>
        </w:rPr>
        <w:t xml:space="preserve">not been validated in TBI yet. </w:t>
      </w:r>
    </w:p>
    <w:p w:rsidR="00AC68C0" w:rsidRPr="00791660" w:rsidRDefault="00AC68C0" w:rsidP="00C7233D">
      <w:pPr>
        <w:pStyle w:val="Heading3"/>
      </w:pPr>
      <w:r w:rsidRPr="00791660">
        <w:t>RATIONALE</w:t>
      </w:r>
    </w:p>
    <w:p w:rsidR="003D1E85" w:rsidRPr="00791660" w:rsidRDefault="003D1E85" w:rsidP="00AC68C0">
      <w:pPr>
        <w:spacing w:after="120"/>
        <w:rPr>
          <w:rFonts w:cs="Calibri"/>
          <w:b/>
        </w:rPr>
      </w:pPr>
      <w:r w:rsidRPr="00791660">
        <w:rPr>
          <w:rFonts w:cs="Calibri"/>
        </w:rPr>
        <w:t>Designed as part of the NIH Blueprint initiative for use in NIH research involving large epidemiological studies and clinical trials. The battery will examine various cognitive constructs, will be at nominal cost and will take no more than 30 minutes to complete. Will be both in English and Spanish.  Large st</w:t>
      </w:r>
      <w:r w:rsidR="00C7233D">
        <w:rPr>
          <w:rFonts w:cs="Calibri"/>
        </w:rPr>
        <w:t>andardization is being planned.</w:t>
      </w:r>
    </w:p>
    <w:p w:rsidR="00AC68C0" w:rsidRPr="00791660" w:rsidRDefault="00AC68C0" w:rsidP="00C7233D">
      <w:pPr>
        <w:pStyle w:val="Heading3"/>
      </w:pPr>
      <w:r w:rsidRPr="00791660">
        <w:t>REFERENCES</w:t>
      </w:r>
    </w:p>
    <w:p w:rsidR="003D1E85" w:rsidRPr="00791660" w:rsidRDefault="007F7EC4" w:rsidP="00AC68C0">
      <w:pPr>
        <w:rPr>
          <w:rFonts w:cs="Calibri"/>
        </w:rPr>
      </w:pPr>
      <w:hyperlink r:id="rId7" w:history="1">
        <w:r>
          <w:rPr>
            <w:rStyle w:val="Hyperlink"/>
            <w:rFonts w:cs="Calibri"/>
          </w:rPr>
          <w:t>The NIH Toolbox Instrument Page</w:t>
        </w:r>
      </w:hyperlink>
      <w:r w:rsidR="00AD54D0">
        <w:rPr>
          <w:rFonts w:cs="Calibri"/>
        </w:rPr>
        <w:t xml:space="preserve"> P</w:t>
      </w:r>
      <w:r w:rsidR="003D1E85" w:rsidRPr="00791660">
        <w:rPr>
          <w:rFonts w:cs="Calibri"/>
        </w:rPr>
        <w:t>rincipal Inve</w:t>
      </w:r>
      <w:r w:rsidR="00AD54D0">
        <w:rPr>
          <w:rFonts w:cs="Calibri"/>
        </w:rPr>
        <w:t xml:space="preserve">stigator: Richard Gershon PhD </w:t>
      </w:r>
      <w:r w:rsidR="003D1E85" w:rsidRPr="00791660">
        <w:rPr>
          <w:rFonts w:cs="Calibri"/>
        </w:rPr>
        <w:t xml:space="preserve">e-mail: </w:t>
      </w:r>
      <w:hyperlink r:id="rId8" w:history="1">
        <w:r w:rsidR="003D1E85" w:rsidRPr="00791660">
          <w:rPr>
            <w:rStyle w:val="Hyperlink"/>
            <w:rFonts w:cs="Calibri"/>
          </w:rPr>
          <w:t>gershon@northwestern.edu</w:t>
        </w:r>
      </w:hyperlink>
    </w:p>
    <w:p w:rsidR="00AC68C0" w:rsidRPr="00791660" w:rsidRDefault="0085772F" w:rsidP="006C4F95">
      <w:pPr>
        <w:pStyle w:val="Heading2"/>
      </w:pPr>
      <w:r w:rsidRPr="00791660">
        <w:br w:type="column"/>
      </w:r>
      <w:r w:rsidR="00AC68C0" w:rsidRPr="00A86E55">
        <w:lastRenderedPageBreak/>
        <w:t>Rey Auditory Verbal Learning Test (RAVLT)</w:t>
      </w:r>
    </w:p>
    <w:p w:rsidR="00AC68C0" w:rsidRPr="00791660" w:rsidRDefault="00AC68C0" w:rsidP="00C7233D">
      <w:pPr>
        <w:pStyle w:val="Heading3"/>
      </w:pPr>
      <w:r w:rsidRPr="00791660">
        <w:t>DESCRIPTION</w:t>
      </w:r>
    </w:p>
    <w:p w:rsidR="003D1E85" w:rsidRPr="00791660" w:rsidRDefault="003D1E85" w:rsidP="00AC68C0">
      <w:pPr>
        <w:spacing w:after="120"/>
        <w:rPr>
          <w:rFonts w:cs="Calibri"/>
          <w:b/>
        </w:rPr>
      </w:pPr>
      <w:r w:rsidRPr="00791660">
        <w:rPr>
          <w:rFonts w:cs="Calibri"/>
        </w:rPr>
        <w:t xml:space="preserve">Performance measure. 15 unrelated words repeated 5 times with recall after each presentation. Task includes immediate </w:t>
      </w:r>
      <w:r w:rsidR="00426588" w:rsidRPr="00791660">
        <w:rPr>
          <w:rFonts w:cs="Calibri"/>
        </w:rPr>
        <w:t>recall and</w:t>
      </w:r>
      <w:r w:rsidR="00AD54D0">
        <w:rPr>
          <w:rFonts w:cs="Calibri"/>
        </w:rPr>
        <w:t xml:space="preserve"> delayed recall and recognition</w:t>
      </w:r>
    </w:p>
    <w:p w:rsidR="00C7233D" w:rsidRDefault="00AC68C0" w:rsidP="00C7233D">
      <w:pPr>
        <w:pStyle w:val="Heading3"/>
      </w:pPr>
      <w:r w:rsidRPr="00C7233D">
        <w:t xml:space="preserve">PERMISSIBLE VALUES </w:t>
      </w:r>
    </w:p>
    <w:p w:rsidR="00AC68C0" w:rsidRPr="00791660" w:rsidRDefault="003D1E85" w:rsidP="00C7233D">
      <w:pPr>
        <w:rPr>
          <w:b/>
        </w:rPr>
      </w:pPr>
      <w:r w:rsidRPr="00791660">
        <w:t>Test yields a number of scores. More reliable and useful are the total score based on 5 re</w:t>
      </w:r>
      <w:r w:rsidR="00C7233D">
        <w:t>call trials and delayed recall.</w:t>
      </w:r>
    </w:p>
    <w:p w:rsidR="00AC68C0" w:rsidRPr="00791660" w:rsidRDefault="00AC68C0" w:rsidP="00C7233D">
      <w:pPr>
        <w:pStyle w:val="Heading3"/>
      </w:pPr>
      <w:r w:rsidRPr="00791660">
        <w:t xml:space="preserve">PROCEDURES </w:t>
      </w:r>
    </w:p>
    <w:p w:rsidR="003D1E85" w:rsidRPr="00791660" w:rsidRDefault="003D1E85" w:rsidP="00AC68C0">
      <w:pPr>
        <w:spacing w:after="120"/>
        <w:rPr>
          <w:rFonts w:cs="Calibri"/>
          <w:b/>
        </w:rPr>
      </w:pPr>
      <w:r w:rsidRPr="00791660">
        <w:rPr>
          <w:rFonts w:cs="Calibri"/>
        </w:rPr>
        <w:t>Requires trained examiner to administer but neuropsychologist or psychologist to interpret. Administration time is 15 minutes.</w:t>
      </w:r>
    </w:p>
    <w:p w:rsidR="00AC68C0" w:rsidRPr="00791660" w:rsidRDefault="00AC68C0" w:rsidP="00C7233D">
      <w:pPr>
        <w:pStyle w:val="Heading3"/>
      </w:pPr>
      <w:r w:rsidRPr="00791660">
        <w:t>COMMENTS</w:t>
      </w:r>
    </w:p>
    <w:p w:rsidR="003D1E85" w:rsidRPr="00791660" w:rsidRDefault="003D1E85" w:rsidP="00AC68C0">
      <w:pPr>
        <w:spacing w:after="120"/>
        <w:rPr>
          <w:rFonts w:cs="Calibri"/>
          <w:b/>
        </w:rPr>
      </w:pPr>
      <w:r w:rsidRPr="00791660">
        <w:rPr>
          <w:rFonts w:cs="Calibri"/>
        </w:rPr>
        <w:t>This is a performance based measure which requires the subject to understand what is required and participate in the testing. It requires a functional level in the severe disability or above on the GOS/GOSE.</w:t>
      </w:r>
    </w:p>
    <w:p w:rsidR="00AC68C0" w:rsidRPr="00791660" w:rsidRDefault="00AC68C0" w:rsidP="00C7233D">
      <w:pPr>
        <w:pStyle w:val="Heading3"/>
      </w:pPr>
      <w:r w:rsidRPr="00791660">
        <w:t>RATIONALE</w:t>
      </w:r>
    </w:p>
    <w:p w:rsidR="003D1E85" w:rsidRPr="00791660" w:rsidRDefault="003D1E85" w:rsidP="00AC68C0">
      <w:pPr>
        <w:spacing w:after="120"/>
        <w:rPr>
          <w:rFonts w:cs="Calibri"/>
          <w:b/>
        </w:rPr>
      </w:pPr>
      <w:r w:rsidRPr="00791660">
        <w:rPr>
          <w:rFonts w:cs="Calibri"/>
        </w:rPr>
        <w:t>This measure has good psychometric properties, is widely used, translated into multiple languages, has multiple forms, and is in the public domain. It is a legacy measure for the NIH Too</w:t>
      </w:r>
      <w:r w:rsidR="00C7233D">
        <w:rPr>
          <w:rFonts w:cs="Calibri"/>
        </w:rPr>
        <w:t>lbox Episodic Memory subdomain.</w:t>
      </w:r>
    </w:p>
    <w:p w:rsidR="00AC68C0" w:rsidRPr="00791660" w:rsidRDefault="00AC68C0" w:rsidP="00C7233D">
      <w:pPr>
        <w:pStyle w:val="Heading3"/>
      </w:pPr>
      <w:r w:rsidRPr="00791660">
        <w:t>REFERENCES</w:t>
      </w:r>
    </w:p>
    <w:p w:rsidR="003D1E85" w:rsidRPr="00791660" w:rsidRDefault="003D1E85" w:rsidP="00AC68C0">
      <w:pPr>
        <w:rPr>
          <w:rFonts w:cs="Calibri"/>
        </w:rPr>
      </w:pPr>
      <w:r w:rsidRPr="00791660">
        <w:rPr>
          <w:rFonts w:cs="Calibri"/>
        </w:rPr>
        <w:t>Strauss E, Sherman E, Spreen O (2006). Rey Auditory Verbal Learning Test. In Compendium of Neuropsychological Tests (3rd Edition) Oxford University Press.776-807.</w:t>
      </w:r>
    </w:p>
    <w:p w:rsidR="003D1E85" w:rsidRPr="00791660" w:rsidRDefault="0085772F" w:rsidP="006C4F95">
      <w:pPr>
        <w:pStyle w:val="Heading2"/>
      </w:pPr>
      <w:r w:rsidRPr="00791660">
        <w:br w:type="page"/>
      </w:r>
      <w:r w:rsidRPr="00791660">
        <w:lastRenderedPageBreak/>
        <w:t xml:space="preserve">Symbol Digit </w:t>
      </w:r>
      <w:r w:rsidR="003D1E85" w:rsidRPr="00791660">
        <w:t xml:space="preserve">Modalities Test </w:t>
      </w:r>
    </w:p>
    <w:p w:rsidR="003D1E85" w:rsidRPr="00AD54D0" w:rsidRDefault="003D1E85" w:rsidP="00C7233D">
      <w:pPr>
        <w:pStyle w:val="Heading3"/>
        <w:rPr>
          <w:iCs/>
        </w:rPr>
      </w:pPr>
      <w:r w:rsidRPr="00791660">
        <w:t xml:space="preserve">DESCRIPTION </w:t>
      </w:r>
    </w:p>
    <w:p w:rsidR="003D1E85" w:rsidRPr="00791660" w:rsidRDefault="003D1E85" w:rsidP="003D1E85">
      <w:pPr>
        <w:rPr>
          <w:rFonts w:cs="Calibri"/>
        </w:rPr>
      </w:pPr>
      <w:r w:rsidRPr="00791660">
        <w:rPr>
          <w:rFonts w:cs="Calibri"/>
        </w:rPr>
        <w:t>The Symbol Digit Modalities Test</w:t>
      </w:r>
      <w:r w:rsidRPr="00791660">
        <w:rPr>
          <w:rFonts w:cs="Calibri"/>
          <w:b/>
        </w:rPr>
        <w:t xml:space="preserve"> </w:t>
      </w:r>
      <w:r w:rsidRPr="00791660">
        <w:rPr>
          <w:rFonts w:cs="Calibri"/>
        </w:rPr>
        <w:t xml:space="preserve">is a measure of divided attention, visual scanning and motor speed. This measure involves a coding key consisting of 9 abstract symbols, each paired with a number ranging from 1 to 9. The subject is required to scan the key and write down the number corresponding to each symbol as fast as possible. The number of correct substitution within 90 seconds is recorded. In the written version of the test the subject fills in the numbers that correspond to the symbols.  In the oral version the examiner records the numbers spoken by the subject. </w:t>
      </w:r>
    </w:p>
    <w:p w:rsidR="00C7233D" w:rsidRDefault="003D1E85" w:rsidP="00C7233D">
      <w:pPr>
        <w:pStyle w:val="Heading3"/>
      </w:pPr>
      <w:r w:rsidRPr="00791660">
        <w:t>PERMISSIBLE VALUES</w:t>
      </w:r>
    </w:p>
    <w:p w:rsidR="003D1E85" w:rsidRPr="00791660" w:rsidRDefault="003D1E85" w:rsidP="003D1E85">
      <w:pPr>
        <w:rPr>
          <w:rFonts w:cs="Calibri"/>
          <w:bCs/>
          <w:color w:val="000000"/>
        </w:rPr>
      </w:pPr>
      <w:r w:rsidRPr="00791660">
        <w:rPr>
          <w:rFonts w:cs="Calibri"/>
          <w:bCs/>
          <w:color w:val="000000"/>
        </w:rPr>
        <w:t xml:space="preserve">Scores range from 0 to a maximum of 110 correct raw scores. </w:t>
      </w:r>
    </w:p>
    <w:p w:rsidR="00C7233D" w:rsidRDefault="003D1E85" w:rsidP="00C7233D">
      <w:pPr>
        <w:pStyle w:val="Heading3"/>
      </w:pPr>
      <w:r w:rsidRPr="00791660">
        <w:t xml:space="preserve">PROCEDURE </w:t>
      </w:r>
    </w:p>
    <w:p w:rsidR="003D1E85" w:rsidRPr="00791660" w:rsidRDefault="003D1E85" w:rsidP="003D1E85">
      <w:pPr>
        <w:rPr>
          <w:rFonts w:cs="Calibri"/>
          <w:bCs/>
          <w:color w:val="000000"/>
        </w:rPr>
      </w:pPr>
      <w:r w:rsidRPr="00791660">
        <w:rPr>
          <w:rFonts w:cs="Calibri"/>
          <w:bCs/>
          <w:color w:val="000000"/>
        </w:rPr>
        <w:t>Trained examiners. A written or oral version of the test may be administered. Test can be completed in under 5 minutes.</w:t>
      </w:r>
    </w:p>
    <w:p w:rsidR="003D1E85" w:rsidRPr="00791660" w:rsidRDefault="003D1E85" w:rsidP="00C7233D">
      <w:pPr>
        <w:pStyle w:val="Heading3"/>
      </w:pPr>
      <w:r w:rsidRPr="00791660">
        <w:t>COMMENTS</w:t>
      </w:r>
    </w:p>
    <w:p w:rsidR="003D1E85" w:rsidRPr="00791660" w:rsidRDefault="003D1E85" w:rsidP="003D1E85">
      <w:pPr>
        <w:rPr>
          <w:rFonts w:cs="Calibri"/>
          <w:b/>
          <w:bCs/>
          <w:color w:val="000000"/>
        </w:rPr>
      </w:pPr>
      <w:r w:rsidRPr="00791660">
        <w:rPr>
          <w:rFonts w:cs="Calibri"/>
          <w:iCs/>
          <w:color w:val="000000"/>
        </w:rPr>
        <w:t xml:space="preserve">This measure can be used in ages 8 to 91. It can be used in broad spectrum of TBI severity and type of injuries as long as the subject is sufficiently functional to be testable. </w:t>
      </w:r>
    </w:p>
    <w:p w:rsidR="00C7233D" w:rsidRDefault="003D1E85" w:rsidP="00C7233D">
      <w:pPr>
        <w:pStyle w:val="Heading3"/>
      </w:pPr>
      <w:r w:rsidRPr="00791660">
        <w:t xml:space="preserve">RATIONALE </w:t>
      </w:r>
    </w:p>
    <w:p w:rsidR="003D1E85" w:rsidRPr="00791660" w:rsidRDefault="003D1E85" w:rsidP="003D1E85">
      <w:pPr>
        <w:rPr>
          <w:rFonts w:cs="Calibri"/>
          <w:bCs/>
          <w:color w:val="000000"/>
        </w:rPr>
      </w:pPr>
      <w:r w:rsidRPr="00791660">
        <w:rPr>
          <w:rFonts w:cs="Calibri"/>
          <w:bCs/>
          <w:color w:val="000000"/>
        </w:rPr>
        <w:t>This measure takes less than 5 minutes to administer (using both the verbal and written versions), has been extensively studied, has very good psychometric properties, and is sensitive to various neurological conditions of the brain</w:t>
      </w:r>
    </w:p>
    <w:p w:rsidR="00C7233D" w:rsidRDefault="003D1E85" w:rsidP="00C7233D">
      <w:pPr>
        <w:pStyle w:val="Heading3"/>
      </w:pPr>
      <w:r w:rsidRPr="00791660">
        <w:t>REFERENCES</w:t>
      </w:r>
    </w:p>
    <w:p w:rsidR="003D1E85" w:rsidRPr="00791660" w:rsidRDefault="003D1E85" w:rsidP="003D1E85">
      <w:pPr>
        <w:rPr>
          <w:rFonts w:cs="Calibri"/>
          <w:iCs/>
          <w:color w:val="000000"/>
        </w:rPr>
      </w:pPr>
      <w:r w:rsidRPr="00791660">
        <w:rPr>
          <w:rFonts w:cs="Calibri"/>
          <w:iCs/>
          <w:color w:val="000000"/>
        </w:rPr>
        <w:t>Smith A. (1991). Symbol Digit Modalities Test. Los Angeles,CA: Western Psychological services.</w:t>
      </w:r>
    </w:p>
    <w:p w:rsidR="003D1E85" w:rsidRPr="00791660" w:rsidRDefault="003D1E85" w:rsidP="003D1E85">
      <w:pPr>
        <w:ind w:left="720" w:hanging="720"/>
        <w:rPr>
          <w:rFonts w:cs="Calibri"/>
          <w:noProof/>
        </w:rPr>
      </w:pPr>
      <w:r w:rsidRPr="00791660">
        <w:rPr>
          <w:rFonts w:cs="Calibri"/>
          <w:noProof/>
        </w:rPr>
        <w:t>Strauss, E., Sherman, E. M. S., &amp; Spreen, O. (2006). A compendium of neuropsychological tests: Administration, norms, and commentary. Oxford; New York: Oxford University Press.</w:t>
      </w:r>
    </w:p>
    <w:p w:rsidR="0085772F" w:rsidRPr="00791660" w:rsidRDefault="0085772F" w:rsidP="006C4F95">
      <w:pPr>
        <w:pStyle w:val="Heading2"/>
      </w:pPr>
      <w:r w:rsidRPr="00791660">
        <w:br w:type="page"/>
      </w:r>
      <w:r w:rsidRPr="00C33664">
        <w:lastRenderedPageBreak/>
        <w:t>Test of Everyday Attention (Tea-Ch)</w:t>
      </w:r>
      <w:r w:rsidRPr="00791660">
        <w:t xml:space="preserve"> </w:t>
      </w:r>
    </w:p>
    <w:p w:rsidR="0085772F" w:rsidRDefault="0085772F" w:rsidP="00C7233D">
      <w:pPr>
        <w:pStyle w:val="Heading3"/>
      </w:pPr>
      <w:r w:rsidRPr="00791660">
        <w:t>DESCRIPTION:</w:t>
      </w:r>
    </w:p>
    <w:p w:rsidR="00C33664" w:rsidRPr="00C33664" w:rsidRDefault="00C33664" w:rsidP="0085772F">
      <w:pPr>
        <w:rPr>
          <w:rFonts w:cs="Calibri"/>
        </w:rPr>
      </w:pPr>
      <w:r w:rsidRPr="00C33664">
        <w:rPr>
          <w:rFonts w:cs="Calibri"/>
        </w:rPr>
        <w:t xml:space="preserve">Nine tasks </w:t>
      </w:r>
      <w:r w:rsidR="008A2CFB">
        <w:rPr>
          <w:rFonts w:cs="Calibri"/>
        </w:rPr>
        <w:t>using everyday materials measure</w:t>
      </w:r>
      <w:r w:rsidRPr="00C33664">
        <w:rPr>
          <w:rFonts w:cs="Calibri"/>
        </w:rPr>
        <w:t xml:space="preserve"> attention in the TEA-Ch. Scores for focused (selective) attention, sustained attention, and attention switching can be computed. </w:t>
      </w:r>
    </w:p>
    <w:p w:rsidR="0085772F" w:rsidRDefault="0085772F" w:rsidP="00C7233D">
      <w:pPr>
        <w:pStyle w:val="Heading3"/>
      </w:pPr>
      <w:r w:rsidRPr="00791660">
        <w:t>PERMISSIBLE VALUES:</w:t>
      </w:r>
    </w:p>
    <w:p w:rsidR="004B7CEF" w:rsidRPr="00C33664" w:rsidRDefault="004B7CEF" w:rsidP="0085772F">
      <w:pPr>
        <w:rPr>
          <w:rFonts w:cs="Calibri"/>
        </w:rPr>
      </w:pPr>
      <w:r w:rsidRPr="00C33664">
        <w:rPr>
          <w:rFonts w:cs="Calibri"/>
        </w:rPr>
        <w:t>Standardized scores (M = 10; SD = 3) and percentile ran</w:t>
      </w:r>
      <w:r w:rsidR="007F7EC4">
        <w:rPr>
          <w:rFonts w:cs="Calibri"/>
        </w:rPr>
        <w:t xml:space="preserve">ks are given for each subtest. </w:t>
      </w:r>
    </w:p>
    <w:p w:rsidR="0085772F" w:rsidRDefault="0085772F" w:rsidP="00C7233D">
      <w:pPr>
        <w:pStyle w:val="Heading3"/>
      </w:pPr>
      <w:r w:rsidRPr="00791660">
        <w:t>PROCEDURE:</w:t>
      </w:r>
    </w:p>
    <w:p w:rsidR="00C33664" w:rsidRPr="00C33664" w:rsidRDefault="004B7CEF" w:rsidP="0085772F">
      <w:pPr>
        <w:rPr>
          <w:rFonts w:cs="Calibri"/>
        </w:rPr>
      </w:pPr>
      <w:r w:rsidRPr="00C33664">
        <w:rPr>
          <w:rFonts w:cs="Calibri"/>
        </w:rPr>
        <w:t xml:space="preserve">The test is individually administered and takes 55-60 minutes. </w:t>
      </w:r>
    </w:p>
    <w:p w:rsidR="0085772F" w:rsidRDefault="0085772F" w:rsidP="00C7233D">
      <w:pPr>
        <w:pStyle w:val="Heading3"/>
      </w:pPr>
      <w:r w:rsidRPr="00791660">
        <w:t>COMMENTS:</w:t>
      </w:r>
    </w:p>
    <w:p w:rsidR="004B7CEF" w:rsidRPr="00C33664" w:rsidRDefault="004B7CEF" w:rsidP="0085772F">
      <w:pPr>
        <w:rPr>
          <w:rFonts w:cs="Calibri"/>
        </w:rPr>
      </w:pPr>
      <w:r w:rsidRPr="00C33664">
        <w:rPr>
          <w:rFonts w:cs="Calibri"/>
        </w:rPr>
        <w:t>The test is appropriate for children aged 6-16.</w:t>
      </w:r>
    </w:p>
    <w:p w:rsidR="0085772F" w:rsidRDefault="0085772F" w:rsidP="00C7233D">
      <w:pPr>
        <w:pStyle w:val="Heading3"/>
      </w:pPr>
      <w:r w:rsidRPr="00791660">
        <w:t>RATIONALE:</w:t>
      </w:r>
    </w:p>
    <w:p w:rsidR="004B7CEF" w:rsidRPr="00C33664" w:rsidRDefault="00C33664" w:rsidP="0085772F">
      <w:r w:rsidRPr="00C33664">
        <w:t>“</w:t>
      </w:r>
      <w:r w:rsidR="004B7CEF" w:rsidRPr="00C33664">
        <w:t>This measure has been shown to be sensitive to children with severe TBI.</w:t>
      </w:r>
      <w:r w:rsidRPr="00C33664">
        <w:t>”</w:t>
      </w:r>
      <w:r>
        <w:t xml:space="preserve"> – McCauley et al. 2012</w:t>
      </w:r>
    </w:p>
    <w:p w:rsidR="0085772F" w:rsidRDefault="0085772F" w:rsidP="00C7233D">
      <w:pPr>
        <w:pStyle w:val="Heading3"/>
      </w:pPr>
      <w:r w:rsidRPr="00791660">
        <w:t>REFERENCES:</w:t>
      </w:r>
    </w:p>
    <w:p w:rsidR="004B7CEF" w:rsidRPr="00C33664" w:rsidRDefault="004B7CEF" w:rsidP="004B7CEF">
      <w:pPr>
        <w:rPr>
          <w:rFonts w:cs="Calibri"/>
        </w:rPr>
      </w:pPr>
      <w:r w:rsidRPr="00C33664">
        <w:rPr>
          <w:rFonts w:cs="Calibri"/>
        </w:rPr>
        <w:t xml:space="preserve">Manly, T., Robertson, I., Anderson, V., and Nimmo-Smith, I. (1999). TEA-Ch: The Test of Everyday Attention for Children. Thames Valley </w:t>
      </w:r>
      <w:r w:rsidR="00C33664" w:rsidRPr="00C33664">
        <w:rPr>
          <w:rFonts w:cs="Calibri"/>
        </w:rPr>
        <w:t xml:space="preserve">Test Company: Bury St. Edmunds, </w:t>
      </w:r>
      <w:r w:rsidRPr="00C33664">
        <w:rPr>
          <w:rFonts w:cs="Calibri"/>
        </w:rPr>
        <w:t>England.</w:t>
      </w:r>
    </w:p>
    <w:p w:rsidR="0085772F" w:rsidRPr="00791660" w:rsidRDefault="0085772F" w:rsidP="006C4F95">
      <w:pPr>
        <w:pStyle w:val="Heading2"/>
      </w:pPr>
      <w:r w:rsidRPr="00791660">
        <w:br w:type="page"/>
      </w:r>
      <w:r w:rsidRPr="00327236">
        <w:lastRenderedPageBreak/>
        <w:t>Test of Executive Control (TEC)</w:t>
      </w:r>
    </w:p>
    <w:p w:rsidR="0085772F" w:rsidRDefault="0085772F" w:rsidP="00C7233D">
      <w:pPr>
        <w:pStyle w:val="Heading3"/>
      </w:pPr>
      <w:r w:rsidRPr="00791660">
        <w:t>DESCRIPTION:</w:t>
      </w:r>
    </w:p>
    <w:p w:rsidR="004B7CEF" w:rsidRPr="00327236" w:rsidRDefault="00327236" w:rsidP="004B7CEF">
      <w:pPr>
        <w:rPr>
          <w:rFonts w:cs="Calibri"/>
        </w:rPr>
      </w:pPr>
      <w:r w:rsidRPr="00327236">
        <w:rPr>
          <w:rFonts w:cs="Calibri"/>
        </w:rPr>
        <w:t>The TEC includes an n-back paradigm testing working memory load and a go/no-go task</w:t>
      </w:r>
      <w:r>
        <w:rPr>
          <w:rFonts w:cs="Calibri"/>
        </w:rPr>
        <w:t xml:space="preserve"> to test executive control</w:t>
      </w:r>
      <w:r w:rsidRPr="00327236">
        <w:rPr>
          <w:rFonts w:cs="Calibri"/>
        </w:rPr>
        <w:t xml:space="preserve">. The </w:t>
      </w:r>
      <w:r>
        <w:rPr>
          <w:rFonts w:cs="Calibri"/>
        </w:rPr>
        <w:t xml:space="preserve">measure </w:t>
      </w:r>
      <w:r w:rsidRPr="00327236">
        <w:rPr>
          <w:rFonts w:cs="Calibri"/>
        </w:rPr>
        <w:t xml:space="preserve">is </w:t>
      </w:r>
      <w:r w:rsidR="004B7CEF" w:rsidRPr="00327236">
        <w:rPr>
          <w:rFonts w:cs="Calibri"/>
        </w:rPr>
        <w:t>computer-administered</w:t>
      </w:r>
      <w:r w:rsidRPr="00327236">
        <w:rPr>
          <w:rFonts w:cs="Calibri"/>
        </w:rPr>
        <w:t>.</w:t>
      </w:r>
    </w:p>
    <w:p w:rsidR="0085772F" w:rsidRDefault="0085772F" w:rsidP="00C7233D">
      <w:pPr>
        <w:pStyle w:val="Heading3"/>
      </w:pPr>
      <w:r w:rsidRPr="00791660">
        <w:t>PERMISSIBLE VALUES:</w:t>
      </w:r>
    </w:p>
    <w:p w:rsidR="004B7CEF" w:rsidRPr="00327236" w:rsidRDefault="004B7CEF" w:rsidP="0085772F">
      <w:pPr>
        <w:rPr>
          <w:rFonts w:cs="Calibri"/>
        </w:rPr>
      </w:pPr>
      <w:r w:rsidRPr="00327236">
        <w:rPr>
          <w:rFonts w:cs="Calibri"/>
        </w:rPr>
        <w:t>T-scores (M=50, SD=10) and percentiles are given.</w:t>
      </w:r>
    </w:p>
    <w:p w:rsidR="0085772F" w:rsidRDefault="0085772F" w:rsidP="00C7233D">
      <w:pPr>
        <w:pStyle w:val="Heading3"/>
      </w:pPr>
      <w:r w:rsidRPr="00791660">
        <w:t>PROCEDURE:</w:t>
      </w:r>
    </w:p>
    <w:p w:rsidR="004B7CEF" w:rsidRPr="00327236" w:rsidRDefault="004B7CEF" w:rsidP="0085772F">
      <w:pPr>
        <w:rPr>
          <w:rFonts w:cs="Calibri"/>
        </w:rPr>
      </w:pPr>
      <w:r w:rsidRPr="00327236">
        <w:rPr>
          <w:rFonts w:cs="Calibri"/>
        </w:rPr>
        <w:t>The test is individually administered by computer and is 20-30 minutes in length</w:t>
      </w:r>
      <w:r w:rsidR="00327236" w:rsidRPr="00327236">
        <w:rPr>
          <w:rFonts w:cs="Calibri"/>
        </w:rPr>
        <w:t>.</w:t>
      </w:r>
    </w:p>
    <w:p w:rsidR="0085772F" w:rsidRDefault="0085772F" w:rsidP="00C7233D">
      <w:pPr>
        <w:pStyle w:val="Heading3"/>
      </w:pPr>
      <w:r w:rsidRPr="00791660">
        <w:t>COMMENTS:</w:t>
      </w:r>
    </w:p>
    <w:p w:rsidR="004B7CEF" w:rsidRPr="00327236" w:rsidRDefault="004B7CEF" w:rsidP="0085772F">
      <w:pPr>
        <w:rPr>
          <w:rFonts w:cs="Calibri"/>
        </w:rPr>
      </w:pPr>
      <w:r w:rsidRPr="00327236">
        <w:rPr>
          <w:rFonts w:cs="Calibri"/>
        </w:rPr>
        <w:t>The test is appropriate for children and adolescents aged 5 to 18 years.</w:t>
      </w:r>
    </w:p>
    <w:p w:rsidR="0085772F" w:rsidRDefault="0085772F" w:rsidP="00C7233D">
      <w:pPr>
        <w:pStyle w:val="Heading3"/>
      </w:pPr>
      <w:r w:rsidRPr="00791660">
        <w:t>RATIONALE:</w:t>
      </w:r>
    </w:p>
    <w:p w:rsidR="004B7CEF" w:rsidRPr="00327236" w:rsidRDefault="00327236" w:rsidP="0085772F">
      <w:pPr>
        <w:rPr>
          <w:rFonts w:cs="Calibri"/>
        </w:rPr>
      </w:pPr>
      <w:r>
        <w:rPr>
          <w:rFonts w:cs="Calibri"/>
        </w:rPr>
        <w:t>“</w:t>
      </w:r>
      <w:r w:rsidR="004B7CEF" w:rsidRPr="00327236">
        <w:rPr>
          <w:rFonts w:cs="Calibri"/>
        </w:rPr>
        <w:t xml:space="preserve">The TEC </w:t>
      </w:r>
      <w:r w:rsidR="00C33664" w:rsidRPr="00327236">
        <w:rPr>
          <w:rFonts w:cs="Calibri"/>
        </w:rPr>
        <w:t xml:space="preserve">was standardized on a large and representative sample and has demonstrated </w:t>
      </w:r>
      <w:r w:rsidR="004B7CEF" w:rsidRPr="00327236">
        <w:rPr>
          <w:rFonts w:cs="Calibri"/>
        </w:rPr>
        <w:t xml:space="preserve">reliability and concurrent validity with clinical populations including </w:t>
      </w:r>
      <w:r w:rsidRPr="00327236">
        <w:rPr>
          <w:rFonts w:cs="Calibri"/>
        </w:rPr>
        <w:t xml:space="preserve">those with </w:t>
      </w:r>
      <w:r w:rsidR="004B7CEF" w:rsidRPr="00327236">
        <w:rPr>
          <w:rFonts w:cs="Calibri"/>
        </w:rPr>
        <w:t>mild TBI.</w:t>
      </w:r>
      <w:r>
        <w:rPr>
          <w:rFonts w:cs="Calibri"/>
        </w:rPr>
        <w:t>” – McCauley et al. 2012</w:t>
      </w:r>
    </w:p>
    <w:p w:rsidR="0085772F" w:rsidRPr="00791660" w:rsidRDefault="0085772F" w:rsidP="00C7233D">
      <w:pPr>
        <w:pStyle w:val="Heading3"/>
      </w:pPr>
      <w:r w:rsidRPr="00791660">
        <w:t>REFERENCES:</w:t>
      </w:r>
    </w:p>
    <w:p w:rsidR="00AD54D0" w:rsidRDefault="00AD54D0" w:rsidP="00AD54D0">
      <w:r w:rsidRPr="00AD54D0">
        <w:t>Isquith, P., Roth, R., and Gioia, G. (2010). Tasks of Executive Control (TEC). Psychological Assessment Resources, Inc: Odessa, FL.</w:t>
      </w:r>
    </w:p>
    <w:p w:rsidR="0085772F" w:rsidRPr="00327236" w:rsidRDefault="0085772F" w:rsidP="006C4F95">
      <w:pPr>
        <w:pStyle w:val="Heading2"/>
      </w:pPr>
      <w:r w:rsidRPr="00327236">
        <w:br w:type="page"/>
      </w:r>
      <w:r w:rsidRPr="00327236">
        <w:lastRenderedPageBreak/>
        <w:t>Test of Memory and Learning-Revised (TOMAL-2)</w:t>
      </w:r>
    </w:p>
    <w:p w:rsidR="0085772F" w:rsidRPr="00327236" w:rsidRDefault="0085772F" w:rsidP="00C7233D">
      <w:pPr>
        <w:pStyle w:val="Heading3"/>
      </w:pPr>
      <w:r w:rsidRPr="00327236">
        <w:t>DESCRIPTION:</w:t>
      </w:r>
    </w:p>
    <w:p w:rsidR="004B7CEF" w:rsidRPr="00327236" w:rsidRDefault="004B7CEF" w:rsidP="0085772F">
      <w:pPr>
        <w:rPr>
          <w:rFonts w:cs="Calibri"/>
        </w:rPr>
      </w:pPr>
      <w:r w:rsidRPr="00327236">
        <w:rPr>
          <w:rFonts w:cs="Calibri"/>
        </w:rPr>
        <w:t xml:space="preserve">The TOMAL-2 </w:t>
      </w:r>
      <w:r w:rsidR="00327236" w:rsidRPr="00327236">
        <w:rPr>
          <w:rFonts w:cs="Calibri"/>
        </w:rPr>
        <w:t xml:space="preserve">tests </w:t>
      </w:r>
      <w:r w:rsidRPr="00327236">
        <w:rPr>
          <w:rFonts w:cs="Calibri"/>
        </w:rPr>
        <w:t xml:space="preserve">learning abilities </w:t>
      </w:r>
      <w:r w:rsidR="00327236" w:rsidRPr="00327236">
        <w:rPr>
          <w:rFonts w:cs="Calibri"/>
        </w:rPr>
        <w:t xml:space="preserve">related to </w:t>
      </w:r>
      <w:r w:rsidRPr="00327236">
        <w:rPr>
          <w:rFonts w:cs="Calibri"/>
        </w:rPr>
        <w:t>verbal memory</w:t>
      </w:r>
      <w:r w:rsidR="00327236" w:rsidRPr="00327236">
        <w:rPr>
          <w:rFonts w:cs="Calibri"/>
        </w:rPr>
        <w:t>,</w:t>
      </w:r>
      <w:r w:rsidRPr="00327236">
        <w:rPr>
          <w:rFonts w:cs="Calibri"/>
        </w:rPr>
        <w:t xml:space="preserve"> nonverbal memory</w:t>
      </w:r>
      <w:r w:rsidR="00327236" w:rsidRPr="00327236">
        <w:rPr>
          <w:rFonts w:cs="Calibri"/>
        </w:rPr>
        <w:t>,</w:t>
      </w:r>
      <w:r w:rsidRPr="00327236">
        <w:rPr>
          <w:rFonts w:cs="Calibri"/>
        </w:rPr>
        <w:t xml:space="preserve"> composite memory. </w:t>
      </w:r>
      <w:r w:rsidR="00327236" w:rsidRPr="00327236">
        <w:rPr>
          <w:rFonts w:cs="Calibri"/>
        </w:rPr>
        <w:t xml:space="preserve">Additional indices may be computed for </w:t>
      </w:r>
      <w:r w:rsidRPr="00327236">
        <w:rPr>
          <w:rFonts w:cs="Calibri"/>
        </w:rPr>
        <w:t xml:space="preserve">1) verbal delayed recall, 2) learning, 3) attention and concentration, 4) sequential memory, 5) free recall, and 6) associate recall. </w:t>
      </w:r>
      <w:r w:rsidR="00327236" w:rsidRPr="00327236">
        <w:rPr>
          <w:rFonts w:cs="Calibri"/>
        </w:rPr>
        <w:t>The test has extensive validation and normative data.</w:t>
      </w:r>
    </w:p>
    <w:p w:rsidR="0085772F" w:rsidRDefault="0085772F" w:rsidP="00C7233D">
      <w:pPr>
        <w:pStyle w:val="Heading3"/>
      </w:pPr>
      <w:r w:rsidRPr="00791660">
        <w:t>PERMISSIBLE VALUES:</w:t>
      </w:r>
    </w:p>
    <w:p w:rsidR="004B7CEF" w:rsidRPr="00327236" w:rsidRDefault="004B7CEF" w:rsidP="0085772F">
      <w:pPr>
        <w:rPr>
          <w:rFonts w:cs="Calibri"/>
        </w:rPr>
      </w:pPr>
      <w:r w:rsidRPr="00327236">
        <w:rPr>
          <w:rFonts w:cs="Calibri"/>
        </w:rPr>
        <w:t>Scaled scores for subtests have M = 10, SD = 3. Composite scores and indexes are M = 100, SD = 15.</w:t>
      </w:r>
    </w:p>
    <w:p w:rsidR="0085772F" w:rsidRDefault="0085772F" w:rsidP="00C7233D">
      <w:pPr>
        <w:pStyle w:val="Heading3"/>
      </w:pPr>
      <w:r w:rsidRPr="00791660">
        <w:t>PROCEDURE:</w:t>
      </w:r>
    </w:p>
    <w:p w:rsidR="004B7CEF" w:rsidRPr="00327236" w:rsidRDefault="004B7CEF" w:rsidP="0085772F">
      <w:pPr>
        <w:rPr>
          <w:rFonts w:cs="Calibri"/>
        </w:rPr>
      </w:pPr>
      <w:r w:rsidRPr="00327236">
        <w:rPr>
          <w:rFonts w:cs="Calibri"/>
        </w:rPr>
        <w:t>The three core indices can be completed in about 30 minutes; with the supplemental battery, testing time increases to 1 hour. Examiners should have formal training in administering standardized assessments.</w:t>
      </w:r>
    </w:p>
    <w:p w:rsidR="0085772F" w:rsidRDefault="0085772F" w:rsidP="00C7233D">
      <w:pPr>
        <w:pStyle w:val="Heading3"/>
      </w:pPr>
      <w:r w:rsidRPr="00791660">
        <w:t>COMMENTS:</w:t>
      </w:r>
    </w:p>
    <w:p w:rsidR="004B7CEF" w:rsidRPr="00327236" w:rsidRDefault="004B7CEF" w:rsidP="0085772F">
      <w:pPr>
        <w:rPr>
          <w:rFonts w:cs="Calibri"/>
        </w:rPr>
      </w:pPr>
      <w:r w:rsidRPr="00327236">
        <w:rPr>
          <w:rFonts w:cs="Calibri"/>
        </w:rPr>
        <w:t>The test is for children and adults aged 5-59 years.</w:t>
      </w:r>
    </w:p>
    <w:p w:rsidR="0085772F" w:rsidRDefault="0085772F" w:rsidP="00C7233D">
      <w:pPr>
        <w:pStyle w:val="Heading3"/>
      </w:pPr>
      <w:r w:rsidRPr="00791660">
        <w:t>RATIONALE:</w:t>
      </w:r>
    </w:p>
    <w:p w:rsidR="00327236" w:rsidRDefault="00327236" w:rsidP="0085772F">
      <w:pPr>
        <w:rPr>
          <w:rFonts w:cs="Calibri"/>
        </w:rPr>
      </w:pPr>
      <w:r>
        <w:rPr>
          <w:rFonts w:cs="Calibri"/>
        </w:rPr>
        <w:t>“</w:t>
      </w:r>
      <w:r w:rsidR="004B7CEF" w:rsidRPr="00327236">
        <w:rPr>
          <w:rFonts w:cs="Calibri"/>
        </w:rPr>
        <w:t>The TOMAL-2 and its predecessor have been found to be useful in studies of pediatric TBI</w:t>
      </w:r>
      <w:r>
        <w:rPr>
          <w:rFonts w:cs="Calibri"/>
        </w:rPr>
        <w:t>.” – McCauley et al. 2012</w:t>
      </w:r>
    </w:p>
    <w:p w:rsidR="0085772F" w:rsidRPr="00791660" w:rsidRDefault="0085772F" w:rsidP="00C7233D">
      <w:pPr>
        <w:pStyle w:val="Heading3"/>
      </w:pPr>
      <w:r w:rsidRPr="00791660">
        <w:t>REFERENCES:</w:t>
      </w:r>
    </w:p>
    <w:p w:rsidR="004B7CEF" w:rsidRPr="00327236" w:rsidRDefault="004B7CEF" w:rsidP="004B7CEF">
      <w:pPr>
        <w:rPr>
          <w:rFonts w:cs="Calibri"/>
        </w:rPr>
      </w:pPr>
      <w:r w:rsidRPr="00327236">
        <w:rPr>
          <w:rFonts w:cs="Calibri"/>
        </w:rPr>
        <w:t>Reynolds, C., and Voress, J. (2007). Test of Memory and Learning--Revised (Second ed.). Pearson Assessments: San Antonio, TX.</w:t>
      </w:r>
    </w:p>
    <w:p w:rsidR="004B7CEF" w:rsidRPr="00327236" w:rsidRDefault="004B7CEF" w:rsidP="004B7CEF">
      <w:pPr>
        <w:rPr>
          <w:rFonts w:cs="Calibri"/>
        </w:rPr>
      </w:pPr>
      <w:r w:rsidRPr="00327236">
        <w:rPr>
          <w:rFonts w:cs="Calibri"/>
        </w:rPr>
        <w:t>Alexander, A., and Mayfield, J. (2005). Latent factor structure of the Test of Memory and Learning in a pediatric traumatic brain injured sample: support for a general memory construct. Arch Clin Neuropsychol 20(5), 587-598.</w:t>
      </w:r>
    </w:p>
    <w:p w:rsidR="004B7CEF" w:rsidRPr="00327236" w:rsidRDefault="004B7CEF" w:rsidP="004B7CEF">
      <w:pPr>
        <w:rPr>
          <w:rFonts w:cs="Calibri"/>
        </w:rPr>
      </w:pPr>
      <w:r w:rsidRPr="00327236">
        <w:rPr>
          <w:rFonts w:cs="Calibri"/>
        </w:rPr>
        <w:t>Lowther, J., and Mayfield, J. (2004). Memory functioning in children with traumatic brain injuries: a TOMAL validity study. Arch Clin Neuropsychol 19(1), 105-118.</w:t>
      </w:r>
    </w:p>
    <w:p w:rsidR="004B7CEF" w:rsidRPr="00327236" w:rsidRDefault="004B7CEF" w:rsidP="004B7CEF">
      <w:pPr>
        <w:rPr>
          <w:rFonts w:cs="Calibri"/>
        </w:rPr>
      </w:pPr>
      <w:r w:rsidRPr="00327236">
        <w:rPr>
          <w:rFonts w:cs="Calibri"/>
        </w:rPr>
        <w:t>Ramsay, M., and Reynolds, C. (1995). Separate digits tests: A brief history, a literature review, and a reexamination of the factor structure of the Test of Memory and Learning (TOMAL). Neuropsychol Rev 5(3), 151-171.</w:t>
      </w:r>
    </w:p>
    <w:p w:rsidR="00AD54D0" w:rsidRDefault="00AD54D0" w:rsidP="00AD54D0">
      <w:r w:rsidRPr="00AD54D0">
        <w:t>Reynolds, C., and Bigler, E. (1996). Factor structure, factor indexes, and other useful statistics for interpretation of the Test of Memory and Learning (TOMAL). Arch Clin Neuropsychol 11(1), 29-43.</w:t>
      </w:r>
    </w:p>
    <w:p w:rsidR="0085772F" w:rsidRPr="00327236" w:rsidRDefault="0085772F" w:rsidP="006C4F95">
      <w:pPr>
        <w:pStyle w:val="Heading2"/>
      </w:pPr>
      <w:r w:rsidRPr="00791660">
        <w:br w:type="page"/>
      </w:r>
      <w:r w:rsidRPr="00391939">
        <w:lastRenderedPageBreak/>
        <w:t>Test of Strategic Learning (TOSL)</w:t>
      </w:r>
    </w:p>
    <w:p w:rsidR="0085772F" w:rsidRDefault="0085772F" w:rsidP="00C7233D">
      <w:pPr>
        <w:pStyle w:val="Heading3"/>
      </w:pPr>
      <w:r w:rsidRPr="00791660">
        <w:t>DESCRIPTION:</w:t>
      </w:r>
    </w:p>
    <w:p w:rsidR="004B7CEF" w:rsidRPr="009B4015" w:rsidRDefault="00391939" w:rsidP="0085772F">
      <w:pPr>
        <w:rPr>
          <w:rFonts w:cs="Calibri"/>
        </w:rPr>
      </w:pPr>
      <w:r>
        <w:rPr>
          <w:rFonts w:cs="Calibri"/>
        </w:rPr>
        <w:t>In t</w:t>
      </w:r>
      <w:r w:rsidR="004B7CEF" w:rsidRPr="009B4015">
        <w:rPr>
          <w:rFonts w:cs="Calibri"/>
        </w:rPr>
        <w:t>he TOSL</w:t>
      </w:r>
      <w:r>
        <w:rPr>
          <w:rFonts w:cs="Calibri"/>
        </w:rPr>
        <w:t xml:space="preserve">, subjects use </w:t>
      </w:r>
      <w:r w:rsidR="004B7CEF" w:rsidRPr="009B4015">
        <w:rPr>
          <w:rFonts w:cs="Calibri"/>
        </w:rPr>
        <w:t>higher-order verbal reasoning</w:t>
      </w:r>
      <w:r>
        <w:rPr>
          <w:rFonts w:cs="Calibri"/>
        </w:rPr>
        <w:t>, including processing complex information extracting abstract ideas from text. T</w:t>
      </w:r>
      <w:r w:rsidR="004B7CEF" w:rsidRPr="009B4015">
        <w:rPr>
          <w:rFonts w:cs="Calibri"/>
        </w:rPr>
        <w:t xml:space="preserve">wo scores </w:t>
      </w:r>
      <w:r>
        <w:rPr>
          <w:rFonts w:cs="Calibri"/>
        </w:rPr>
        <w:t xml:space="preserve">are given: one for </w:t>
      </w:r>
      <w:r w:rsidR="004B7CEF" w:rsidRPr="009B4015">
        <w:rPr>
          <w:rFonts w:cs="Calibri"/>
        </w:rPr>
        <w:t xml:space="preserve">gist-reasoning ability and </w:t>
      </w:r>
      <w:r>
        <w:rPr>
          <w:rFonts w:cs="Calibri"/>
        </w:rPr>
        <w:t xml:space="preserve">a second for </w:t>
      </w:r>
      <w:r w:rsidR="004B7CEF" w:rsidRPr="009B4015">
        <w:rPr>
          <w:rFonts w:cs="Calibri"/>
        </w:rPr>
        <w:t>fact-learning</w:t>
      </w:r>
    </w:p>
    <w:p w:rsidR="0085772F" w:rsidRDefault="0085772F" w:rsidP="00C7233D">
      <w:pPr>
        <w:pStyle w:val="Heading3"/>
      </w:pPr>
      <w:r w:rsidRPr="00791660">
        <w:t>PERMISSIBLE VALUES:</w:t>
      </w:r>
    </w:p>
    <w:p w:rsidR="004B7CEF" w:rsidRPr="009B4015" w:rsidRDefault="004B7CEF" w:rsidP="0085772F">
      <w:pPr>
        <w:rPr>
          <w:rFonts w:cs="Calibri"/>
        </w:rPr>
      </w:pPr>
      <w:r w:rsidRPr="009B4015">
        <w:rPr>
          <w:rFonts w:cs="Calibri"/>
        </w:rPr>
        <w:t>Two core scores indicate the subject's ability to abstract meaning from complex information. Range score for gist-reasoning ability is 0-28 and for fact-learning is 0-24.</w:t>
      </w:r>
    </w:p>
    <w:p w:rsidR="0085772F" w:rsidRDefault="0085772F" w:rsidP="00C7233D">
      <w:pPr>
        <w:pStyle w:val="Heading3"/>
      </w:pPr>
      <w:r w:rsidRPr="00791660">
        <w:t>PROCEDURE:</w:t>
      </w:r>
    </w:p>
    <w:p w:rsidR="004B7CEF" w:rsidRPr="009B4015" w:rsidRDefault="004B7CEF" w:rsidP="0085772F">
      <w:pPr>
        <w:rPr>
          <w:rFonts w:cs="Calibri"/>
        </w:rPr>
      </w:pPr>
      <w:r w:rsidRPr="009B4015">
        <w:rPr>
          <w:rFonts w:cs="Calibri"/>
        </w:rPr>
        <w:t>The test is individually administered. The examiner reads the text to the child and the child may follow along on paper. The child must provide a verbal summary of the text.</w:t>
      </w:r>
    </w:p>
    <w:p w:rsidR="0085772F" w:rsidRDefault="0085772F" w:rsidP="00C7233D">
      <w:pPr>
        <w:pStyle w:val="Heading3"/>
      </w:pPr>
      <w:r w:rsidRPr="00791660">
        <w:t>COMMENTS:</w:t>
      </w:r>
    </w:p>
    <w:p w:rsidR="004B7CEF" w:rsidRPr="009B4015" w:rsidRDefault="004B7CEF" w:rsidP="0085772F">
      <w:pPr>
        <w:rPr>
          <w:rFonts w:cs="Calibri"/>
        </w:rPr>
      </w:pPr>
      <w:r w:rsidRPr="009B4015">
        <w:rPr>
          <w:rFonts w:cs="Calibri"/>
        </w:rPr>
        <w:t>TOSL has been used extensively in the 7 to 20 year age range</w:t>
      </w:r>
    </w:p>
    <w:p w:rsidR="0085772F" w:rsidRDefault="0085772F" w:rsidP="00C7233D">
      <w:pPr>
        <w:pStyle w:val="Heading3"/>
      </w:pPr>
      <w:r w:rsidRPr="00791660">
        <w:t>RATIONALE:</w:t>
      </w:r>
    </w:p>
    <w:p w:rsidR="004B7CEF" w:rsidRPr="009B4015" w:rsidRDefault="009B4015" w:rsidP="0085772F">
      <w:pPr>
        <w:rPr>
          <w:rFonts w:cs="Calibri"/>
        </w:rPr>
      </w:pPr>
      <w:r>
        <w:rPr>
          <w:rFonts w:cs="Calibri"/>
        </w:rPr>
        <w:t>“</w:t>
      </w:r>
      <w:r w:rsidR="004B7CEF" w:rsidRPr="009B4015">
        <w:rPr>
          <w:rFonts w:cs="Calibri"/>
        </w:rPr>
        <w:t xml:space="preserve">The TOSL was selected </w:t>
      </w:r>
      <w:r w:rsidR="008A0FB3" w:rsidRPr="009B4015">
        <w:rPr>
          <w:rFonts w:cs="Calibri"/>
        </w:rPr>
        <w:t xml:space="preserve">… </w:t>
      </w:r>
      <w:r w:rsidR="004B7CEF" w:rsidRPr="009B4015">
        <w:rPr>
          <w:rFonts w:cs="Calibri"/>
        </w:rPr>
        <w:t>because, although not yet published, it provides a functional measure of the strategies a student uses to understand and encode meaning from information that is much like what is encountered in the classroom and everyday life. The TOSL provides a measure of cognition that is not available in typical standardized tests that rely on multiple choice answers. The validity of the TOSL as a measure of higher order cognitive function has been established in prior studies conducted across 15 years of res</w:t>
      </w:r>
      <w:r w:rsidRPr="009B4015">
        <w:rPr>
          <w:rFonts w:cs="Calibri"/>
        </w:rPr>
        <w:t xml:space="preserve">earch in cognitive neuroscience. </w:t>
      </w:r>
      <w:r w:rsidR="004B7CEF" w:rsidRPr="009B4015">
        <w:rPr>
          <w:rFonts w:cs="Calibri"/>
        </w:rPr>
        <w:t>Moreover, gist reasoning ability as measured by the TOSL has been associated with frontally mediated measures of executive function such as working memory, concept abstraction, cognitive switching, and fluid reasonin</w:t>
      </w:r>
      <w:r w:rsidRPr="009B4015">
        <w:rPr>
          <w:rFonts w:cs="Calibri"/>
        </w:rPr>
        <w:t>g.”</w:t>
      </w:r>
      <w:r>
        <w:rPr>
          <w:rFonts w:cs="Calibri"/>
        </w:rPr>
        <w:t xml:space="preserve"> – McCauley et al. 2012</w:t>
      </w:r>
    </w:p>
    <w:p w:rsidR="0085772F" w:rsidRPr="00791660" w:rsidRDefault="0085772F" w:rsidP="00C7233D">
      <w:pPr>
        <w:pStyle w:val="Heading3"/>
      </w:pPr>
      <w:r w:rsidRPr="00791660">
        <w:t>REFERENCES:</w:t>
      </w:r>
    </w:p>
    <w:p w:rsidR="004B7CEF" w:rsidRPr="009B4015" w:rsidRDefault="004B7CEF" w:rsidP="004B7CEF">
      <w:pPr>
        <w:rPr>
          <w:rFonts w:cs="Calibri"/>
        </w:rPr>
      </w:pPr>
      <w:r w:rsidRPr="009B4015">
        <w:rPr>
          <w:rFonts w:cs="Calibri"/>
        </w:rPr>
        <w:t>Chapman, S. B., Gamino, J. F., and Anand, R. (in press). Higher-order strategic gist reasoning in adolescence.</w:t>
      </w:r>
    </w:p>
    <w:p w:rsidR="00AD54D0" w:rsidRDefault="00AD54D0" w:rsidP="00AD54D0">
      <w:r w:rsidRPr="00AD54D0">
        <w:t>Gamino, J. F., Chapman, S. B., Hull, E. L., and Lyon, G. R. (2010). Effects of higher-order cognitive strategy training on gist reasoning and fact-learning in adolescents. Front Psychol 1, 1-16.</w:t>
      </w:r>
    </w:p>
    <w:p w:rsidR="00AC68C0" w:rsidRPr="00791660" w:rsidRDefault="0085772F" w:rsidP="006C4F95">
      <w:pPr>
        <w:pStyle w:val="Heading2"/>
      </w:pPr>
      <w:r w:rsidRPr="00791660">
        <w:br w:type="page"/>
      </w:r>
      <w:r w:rsidR="00AC68C0" w:rsidRPr="00791660">
        <w:lastRenderedPageBreak/>
        <w:t>Trail Making Test (TMT)</w:t>
      </w:r>
    </w:p>
    <w:p w:rsidR="00AC68C0" w:rsidRPr="00791660" w:rsidRDefault="00AC68C0" w:rsidP="00C7233D">
      <w:pPr>
        <w:pStyle w:val="Heading3"/>
      </w:pPr>
      <w:r w:rsidRPr="00791660">
        <w:t>DESCRIPTION</w:t>
      </w:r>
    </w:p>
    <w:p w:rsidR="003D1E85" w:rsidRPr="00791660" w:rsidRDefault="003D1E85" w:rsidP="003D1E85">
      <w:pPr>
        <w:rPr>
          <w:rFonts w:cs="Calibri"/>
        </w:rPr>
      </w:pPr>
      <w:r w:rsidRPr="00791660">
        <w:rPr>
          <w:rFonts w:cs="Calibri"/>
        </w:rPr>
        <w:t xml:space="preserve">It requires the examinee to connect, by making pencil lines, 25 encircled numbers randomly arranged on a page in proper sequence (Part A) and 25 encircled numbers and letters </w:t>
      </w:r>
      <w:r w:rsidR="00C7233D">
        <w:rPr>
          <w:rFonts w:cs="Calibri"/>
        </w:rPr>
        <w:t xml:space="preserve">in alternating order (Part B). </w:t>
      </w:r>
    </w:p>
    <w:p w:rsidR="00AC68C0" w:rsidRPr="00791660" w:rsidRDefault="00AC68C0" w:rsidP="00C7233D">
      <w:pPr>
        <w:pStyle w:val="Heading3"/>
      </w:pPr>
      <w:r w:rsidRPr="00791660">
        <w:t xml:space="preserve">PERMISSIBLE VALUES </w:t>
      </w:r>
    </w:p>
    <w:p w:rsidR="003D1E85" w:rsidRPr="00791660" w:rsidRDefault="003D1E85" w:rsidP="00AC68C0">
      <w:pPr>
        <w:spacing w:after="120"/>
        <w:rPr>
          <w:rFonts w:cs="Calibri"/>
          <w:b/>
        </w:rPr>
      </w:pPr>
      <w:r w:rsidRPr="00791660">
        <w:rPr>
          <w:rFonts w:cs="Calibri"/>
        </w:rPr>
        <w:t>Scoring is expressed in terms of the time in seconds required for complet</w:t>
      </w:r>
      <w:r w:rsidR="00C7233D">
        <w:rPr>
          <w:rFonts w:cs="Calibri"/>
        </w:rPr>
        <w:t xml:space="preserve">ion of both parts of the test. </w:t>
      </w:r>
    </w:p>
    <w:p w:rsidR="00AC68C0" w:rsidRPr="00791660" w:rsidRDefault="00AC68C0" w:rsidP="00AC68C0">
      <w:pPr>
        <w:spacing w:after="120"/>
        <w:rPr>
          <w:rFonts w:cs="Calibri"/>
          <w:b/>
        </w:rPr>
      </w:pPr>
      <w:r w:rsidRPr="00791660">
        <w:rPr>
          <w:rFonts w:cs="Calibri"/>
          <w:b/>
        </w:rPr>
        <w:t xml:space="preserve">PROCEDURES </w:t>
      </w:r>
    </w:p>
    <w:p w:rsidR="003D1E85" w:rsidRPr="00791660" w:rsidRDefault="003D1E85" w:rsidP="00AC68C0">
      <w:pPr>
        <w:spacing w:after="120"/>
        <w:rPr>
          <w:rFonts w:cs="Calibri"/>
          <w:b/>
        </w:rPr>
      </w:pPr>
      <w:r w:rsidRPr="00791660">
        <w:rPr>
          <w:rFonts w:cs="Calibri"/>
        </w:rPr>
        <w:t>Trained technician can administer TMT. Neuropsychologist needs to interpret.  Admin</w:t>
      </w:r>
      <w:r w:rsidR="00C7233D">
        <w:rPr>
          <w:rFonts w:cs="Calibri"/>
        </w:rPr>
        <w:t>istration time is 5-10 minutes.</w:t>
      </w:r>
    </w:p>
    <w:p w:rsidR="00AC68C0" w:rsidRPr="00791660" w:rsidRDefault="00AC68C0" w:rsidP="00C7233D">
      <w:pPr>
        <w:pStyle w:val="Heading3"/>
      </w:pPr>
      <w:r w:rsidRPr="00791660">
        <w:t>COMMENTS</w:t>
      </w:r>
    </w:p>
    <w:p w:rsidR="003D1E85" w:rsidRPr="00791660" w:rsidRDefault="003D1E85" w:rsidP="00AC68C0">
      <w:pPr>
        <w:spacing w:after="120"/>
        <w:rPr>
          <w:rFonts w:cs="Calibri"/>
          <w:b/>
        </w:rPr>
      </w:pPr>
      <w:r w:rsidRPr="00791660">
        <w:rPr>
          <w:rFonts w:cs="Calibri"/>
        </w:rPr>
        <w:t>Can be given to persons age 7 to 85.  Can be used to assess a wide range of impairment, but patients should have emerg</w:t>
      </w:r>
      <w:r w:rsidR="00C7233D">
        <w:rPr>
          <w:rFonts w:cs="Calibri"/>
        </w:rPr>
        <w:t>ed from post-traumatic amnesia.</w:t>
      </w:r>
    </w:p>
    <w:p w:rsidR="00AC68C0" w:rsidRPr="00791660" w:rsidRDefault="00AC68C0" w:rsidP="00C7233D">
      <w:pPr>
        <w:pStyle w:val="Heading3"/>
      </w:pPr>
      <w:r w:rsidRPr="00791660">
        <w:t>RATIONALE</w:t>
      </w:r>
    </w:p>
    <w:p w:rsidR="003D1E85" w:rsidRPr="00791660" w:rsidRDefault="003D1E85" w:rsidP="00AC68C0">
      <w:pPr>
        <w:spacing w:after="120"/>
        <w:rPr>
          <w:rFonts w:cs="Calibri"/>
          <w:b/>
        </w:rPr>
      </w:pPr>
      <w:r w:rsidRPr="00791660">
        <w:rPr>
          <w:rFonts w:cs="Calibri"/>
        </w:rPr>
        <w:t>TMT is one of the most widely used and researched neuropsychological measures.  It has been shown to be sensitive to a wide range of neurocognitive defi</w:t>
      </w:r>
      <w:r w:rsidR="00C7233D">
        <w:rPr>
          <w:rFonts w:cs="Calibri"/>
        </w:rPr>
        <w:t xml:space="preserve">cits. </w:t>
      </w:r>
    </w:p>
    <w:p w:rsidR="00AC68C0" w:rsidRPr="00791660" w:rsidRDefault="00AC68C0" w:rsidP="00C7233D">
      <w:pPr>
        <w:pStyle w:val="Heading3"/>
      </w:pPr>
      <w:r w:rsidRPr="00791660">
        <w:t>REFERENCES</w:t>
      </w:r>
    </w:p>
    <w:p w:rsidR="003D1E85" w:rsidRPr="00791660" w:rsidRDefault="003D1E85" w:rsidP="003D1E85">
      <w:pPr>
        <w:spacing w:after="120"/>
        <w:rPr>
          <w:rFonts w:cs="Calibri"/>
          <w:b/>
        </w:rPr>
      </w:pPr>
      <w:r w:rsidRPr="00791660">
        <w:rPr>
          <w:rFonts w:cs="Calibri"/>
        </w:rPr>
        <w:t>Reitan, R, &amp; Wolfson, D (1985).  The Halstead-Reitan Neuropsychological Test Battery.  Tucson, AZ: Neuropsychology Press.</w:t>
      </w:r>
    </w:p>
    <w:p w:rsidR="0085772F" w:rsidRPr="00A86E55" w:rsidRDefault="0085772F" w:rsidP="006C4F95">
      <w:pPr>
        <w:pStyle w:val="Heading2"/>
      </w:pPr>
      <w:r w:rsidRPr="00791660">
        <w:br w:type="page"/>
      </w:r>
      <w:r w:rsidRPr="00A86E55">
        <w:lastRenderedPageBreak/>
        <w:t xml:space="preserve">Wechsler Abbreviated Scale of Intelligence (WASI II); 2 subtest version </w:t>
      </w:r>
    </w:p>
    <w:p w:rsidR="00A86E55" w:rsidRDefault="00A86E55" w:rsidP="00C7233D">
      <w:pPr>
        <w:pStyle w:val="Heading3"/>
      </w:pPr>
      <w:r w:rsidRPr="00A86E55">
        <w:t>DESCRIPTION</w:t>
      </w:r>
    </w:p>
    <w:p w:rsidR="00A86E55" w:rsidRDefault="00A86E55" w:rsidP="00A86E55">
      <w:pPr>
        <w:rPr>
          <w:rFonts w:cs="Calibri"/>
        </w:rPr>
      </w:pPr>
      <w:r>
        <w:rPr>
          <w:rFonts w:cs="Calibri"/>
        </w:rPr>
        <w:t>T</w:t>
      </w:r>
      <w:r w:rsidRPr="006510B4">
        <w:rPr>
          <w:rFonts w:cs="Calibri"/>
        </w:rPr>
        <w:t>he WASI</w:t>
      </w:r>
      <w:r>
        <w:rPr>
          <w:rFonts w:cs="Calibri"/>
        </w:rPr>
        <w:t>-II</w:t>
      </w:r>
      <w:r w:rsidRPr="006510B4">
        <w:rPr>
          <w:rFonts w:cs="Calibri"/>
        </w:rPr>
        <w:t xml:space="preserve"> is a</w:t>
      </w:r>
      <w:r>
        <w:rPr>
          <w:rFonts w:cs="Calibri"/>
        </w:rPr>
        <w:t>n update of the WASI, and provides a</w:t>
      </w:r>
      <w:r w:rsidRPr="006510B4">
        <w:rPr>
          <w:rFonts w:cs="Calibri"/>
        </w:rPr>
        <w:t xml:space="preserve"> brief estimate of general intelligence </w:t>
      </w:r>
      <w:r>
        <w:rPr>
          <w:rFonts w:cs="Calibri"/>
        </w:rPr>
        <w:t xml:space="preserve">and cognitive ability </w:t>
      </w:r>
      <w:r w:rsidRPr="006510B4">
        <w:rPr>
          <w:rFonts w:cs="Calibri"/>
        </w:rPr>
        <w:t>for persons age</w:t>
      </w:r>
      <w:r>
        <w:rPr>
          <w:rFonts w:cs="Calibri"/>
        </w:rPr>
        <w:t xml:space="preserve">d </w:t>
      </w:r>
      <w:r w:rsidRPr="006510B4">
        <w:rPr>
          <w:rFonts w:cs="Calibri"/>
        </w:rPr>
        <w:t xml:space="preserve">6 to 89 years. </w:t>
      </w:r>
      <w:r>
        <w:rPr>
          <w:rFonts w:cs="Calibri"/>
        </w:rPr>
        <w:t>The 2 subtest version includes the Vocabulary and Matrix Reasoning Subtests. A full scale IQ score can be computed.</w:t>
      </w:r>
    </w:p>
    <w:p w:rsidR="00A86E55" w:rsidRDefault="00A86E55" w:rsidP="00C7233D">
      <w:pPr>
        <w:pStyle w:val="Heading3"/>
      </w:pPr>
      <w:r>
        <w:t>PERMISSIBLE VALUES</w:t>
      </w:r>
    </w:p>
    <w:p w:rsidR="00A86E55" w:rsidRPr="006510B4" w:rsidRDefault="00A86E55" w:rsidP="00A86E55">
      <w:pPr>
        <w:rPr>
          <w:rFonts w:cs="Calibri"/>
        </w:rPr>
      </w:pPr>
      <w:r w:rsidRPr="006510B4">
        <w:rPr>
          <w:rFonts w:cs="Calibri"/>
        </w:rPr>
        <w:t>WASI subtest scores have mean=50 and standard deviation=10.</w:t>
      </w:r>
      <w:r>
        <w:rPr>
          <w:rFonts w:cs="Calibri"/>
        </w:rPr>
        <w:t xml:space="preserve"> </w:t>
      </w:r>
    </w:p>
    <w:p w:rsidR="00A86E55" w:rsidRDefault="00A86E55" w:rsidP="00C7233D">
      <w:pPr>
        <w:pStyle w:val="Heading3"/>
      </w:pPr>
      <w:r>
        <w:t>PROCEDURE</w:t>
      </w:r>
    </w:p>
    <w:p w:rsidR="00A86E55" w:rsidRPr="006510B4" w:rsidRDefault="00A86E55" w:rsidP="00A86E55">
      <w:pPr>
        <w:rPr>
          <w:rFonts w:cs="Calibri"/>
        </w:rPr>
      </w:pPr>
      <w:r w:rsidRPr="006510B4">
        <w:rPr>
          <w:rFonts w:cs="Calibri"/>
        </w:rPr>
        <w:t xml:space="preserve">The </w:t>
      </w:r>
      <w:r>
        <w:rPr>
          <w:rFonts w:cs="Calibri"/>
        </w:rPr>
        <w:t xml:space="preserve">two </w:t>
      </w:r>
      <w:r w:rsidRPr="006510B4">
        <w:rPr>
          <w:rFonts w:cs="Calibri"/>
        </w:rPr>
        <w:t xml:space="preserve">subtest </w:t>
      </w:r>
      <w:r>
        <w:rPr>
          <w:rFonts w:cs="Calibri"/>
        </w:rPr>
        <w:t xml:space="preserve">version </w:t>
      </w:r>
      <w:r w:rsidRPr="006510B4">
        <w:rPr>
          <w:rFonts w:cs="Calibri"/>
        </w:rPr>
        <w:t xml:space="preserve">takes </w:t>
      </w:r>
      <w:r>
        <w:rPr>
          <w:rFonts w:cs="Calibri"/>
        </w:rPr>
        <w:t xml:space="preserve">about </w:t>
      </w:r>
      <w:r w:rsidRPr="006510B4">
        <w:rPr>
          <w:rFonts w:cs="Calibri"/>
        </w:rPr>
        <w:t>15 minutes to administer.</w:t>
      </w:r>
    </w:p>
    <w:p w:rsidR="00A86E55" w:rsidRDefault="00A86E55" w:rsidP="00C7233D">
      <w:pPr>
        <w:pStyle w:val="Heading3"/>
      </w:pPr>
      <w:r>
        <w:t>COMMENTS</w:t>
      </w:r>
    </w:p>
    <w:p w:rsidR="00A86E55" w:rsidRPr="006510B4" w:rsidRDefault="00C7233D" w:rsidP="00A86E55">
      <w:pPr>
        <w:rPr>
          <w:rFonts w:cs="Calibri"/>
        </w:rPr>
      </w:pPr>
      <w:r>
        <w:rPr>
          <w:rFonts w:cs="Calibri"/>
        </w:rPr>
        <w:t>The WASI i</w:t>
      </w:r>
      <w:r w:rsidR="00A86E55" w:rsidRPr="006510B4">
        <w:rPr>
          <w:rFonts w:cs="Calibri"/>
        </w:rPr>
        <w:t>s appropriate for persons age</w:t>
      </w:r>
      <w:r w:rsidR="00A86E55">
        <w:rPr>
          <w:rFonts w:cs="Calibri"/>
        </w:rPr>
        <w:t>d</w:t>
      </w:r>
      <w:r w:rsidR="00A86E55" w:rsidRPr="006510B4">
        <w:rPr>
          <w:rFonts w:cs="Calibri"/>
        </w:rPr>
        <w:t xml:space="preserve"> 6-89 years.</w:t>
      </w:r>
    </w:p>
    <w:p w:rsidR="00A86E55" w:rsidRDefault="00A86E55" w:rsidP="00C7233D">
      <w:pPr>
        <w:pStyle w:val="Heading3"/>
      </w:pPr>
      <w:r>
        <w:t>RATIONALE</w:t>
      </w:r>
    </w:p>
    <w:p w:rsidR="00A86E55" w:rsidRDefault="00A86E55" w:rsidP="00A86E55">
      <w:pPr>
        <w:rPr>
          <w:rFonts w:cs="Calibri"/>
        </w:rPr>
      </w:pPr>
      <w:r w:rsidRPr="00A86E55">
        <w:rPr>
          <w:rFonts w:cs="Calibri"/>
        </w:rPr>
        <w:t>“Although</w:t>
      </w:r>
      <w:r>
        <w:rPr>
          <w:rFonts w:cs="Calibri"/>
        </w:rPr>
        <w:t xml:space="preserve"> the WASI does not have specific sensitivity to mild injury severity, it has been shown to be sensitive to a range of neurologic conditions including moderate-to-severe TBI.” – McCauley et al. 2012</w:t>
      </w:r>
    </w:p>
    <w:p w:rsidR="00A86E55" w:rsidRPr="00A86E55" w:rsidRDefault="00A86E55" w:rsidP="00C7233D">
      <w:pPr>
        <w:pStyle w:val="Heading3"/>
      </w:pPr>
      <w:r w:rsidRPr="00DF249F">
        <w:t>REFERENCES</w:t>
      </w:r>
    </w:p>
    <w:p w:rsidR="00A86E55" w:rsidRPr="006510B4" w:rsidRDefault="00A86E55" w:rsidP="00A86E55">
      <w:pPr>
        <w:rPr>
          <w:rFonts w:cs="Calibri"/>
        </w:rPr>
      </w:pPr>
      <w:r w:rsidRPr="006510B4">
        <w:rPr>
          <w:rFonts w:cs="Calibri"/>
        </w:rPr>
        <w:t>Wechsler, D. (1999). Weschler Abbreviated Scale of Intelligence. The Psychological Corporation: New York.</w:t>
      </w:r>
    </w:p>
    <w:p w:rsidR="00A86E55" w:rsidRPr="006510B4" w:rsidRDefault="00A86E55" w:rsidP="00A86E55">
      <w:pPr>
        <w:rPr>
          <w:rFonts w:cs="Calibri"/>
        </w:rPr>
      </w:pPr>
      <w:r w:rsidRPr="006510B4">
        <w:rPr>
          <w:rFonts w:cs="Calibri"/>
        </w:rPr>
        <w:t>Gamino, J., Chapman, S., and Cook, L. (2009). Strategic learning in youth with traumatic brain injury: evidence for stall in higher-order cognition. Top Lang Disord 29(3), 224-235.</w:t>
      </w:r>
    </w:p>
    <w:p w:rsidR="00A86E55" w:rsidRPr="006510B4" w:rsidRDefault="00A86E55" w:rsidP="00A86E55">
      <w:pPr>
        <w:rPr>
          <w:rFonts w:cs="Calibri"/>
        </w:rPr>
      </w:pPr>
      <w:r w:rsidRPr="006510B4">
        <w:rPr>
          <w:rFonts w:cs="Calibri"/>
        </w:rPr>
        <w:t>Catroppa, C., and Anderson, V. (2004). Recovery and predictors of language skills two years following pediatric traumatic brain injury. Brain Lang 88(1), 68-78.</w:t>
      </w:r>
    </w:p>
    <w:p w:rsidR="00AD54D0" w:rsidRDefault="00AD54D0" w:rsidP="00AD54D0">
      <w:r w:rsidRPr="00AD54D0">
        <w:t>Prigatano, G., and Gray, J. (2008a). Predictors of performance on three developmentally sensitive neuropsychological tests in children with and without traumatic brain injury.Brain Inj 22(6), 491-500.</w:t>
      </w:r>
    </w:p>
    <w:p w:rsidR="00AC68C0" w:rsidRPr="00791660" w:rsidRDefault="00A86E55" w:rsidP="006C4F95">
      <w:pPr>
        <w:pStyle w:val="Heading2"/>
      </w:pPr>
      <w:r>
        <w:br w:type="page"/>
      </w:r>
      <w:r w:rsidR="00AC68C0" w:rsidRPr="00791660">
        <w:lastRenderedPageBreak/>
        <w:t>Wechsler Adult Intelligence Scale (WAIS-IV), Digit Span subtest</w:t>
      </w:r>
    </w:p>
    <w:p w:rsidR="00AC68C0" w:rsidRPr="00791660" w:rsidRDefault="00AC68C0" w:rsidP="00C7233D">
      <w:pPr>
        <w:pStyle w:val="Heading3"/>
      </w:pPr>
      <w:r w:rsidRPr="00791660">
        <w:t>DESCRIPTION</w:t>
      </w:r>
    </w:p>
    <w:p w:rsidR="009D6578" w:rsidRPr="00791660" w:rsidRDefault="009D6578" w:rsidP="00AC68C0">
      <w:pPr>
        <w:spacing w:after="120"/>
        <w:rPr>
          <w:rFonts w:cs="Calibri"/>
          <w:b/>
        </w:rPr>
      </w:pPr>
      <w:r w:rsidRPr="00791660">
        <w:rPr>
          <w:rFonts w:cs="Calibri"/>
        </w:rPr>
        <w:t>Two sections: Digits Forward and Digits Backward</w:t>
      </w:r>
    </w:p>
    <w:p w:rsidR="00AC68C0" w:rsidRPr="00791660" w:rsidRDefault="00AC68C0" w:rsidP="00C7233D">
      <w:pPr>
        <w:pStyle w:val="Heading3"/>
      </w:pPr>
      <w:r w:rsidRPr="00791660">
        <w:t xml:space="preserve">PERMISSIBLE VALUES </w:t>
      </w:r>
    </w:p>
    <w:p w:rsidR="009D6578" w:rsidRPr="00791660" w:rsidRDefault="009D6578" w:rsidP="00AC68C0">
      <w:pPr>
        <w:spacing w:after="120"/>
        <w:rPr>
          <w:rFonts w:cs="Calibri"/>
          <w:b/>
        </w:rPr>
      </w:pPr>
      <w:r w:rsidRPr="00791660">
        <w:rPr>
          <w:rFonts w:cs="Calibri"/>
        </w:rPr>
        <w:t>Raw s</w:t>
      </w:r>
      <w:r w:rsidR="00AD54D0">
        <w:rPr>
          <w:rFonts w:cs="Calibri"/>
        </w:rPr>
        <w:t>core: 0-30</w:t>
      </w:r>
      <w:r w:rsidR="00C7233D">
        <w:rPr>
          <w:rFonts w:cs="Calibri"/>
        </w:rPr>
        <w:t xml:space="preserve"> Scaled Score: 1-19.</w:t>
      </w:r>
    </w:p>
    <w:p w:rsidR="00AC68C0" w:rsidRPr="00791660" w:rsidRDefault="00AC68C0" w:rsidP="00C7233D">
      <w:pPr>
        <w:pStyle w:val="Heading3"/>
      </w:pPr>
      <w:r w:rsidRPr="00791660">
        <w:t xml:space="preserve">PROCEDURES </w:t>
      </w:r>
    </w:p>
    <w:p w:rsidR="009D6578" w:rsidRPr="00791660" w:rsidRDefault="009D6578" w:rsidP="00AC68C0">
      <w:pPr>
        <w:spacing w:after="120"/>
        <w:rPr>
          <w:rFonts w:cs="Calibri"/>
          <w:b/>
        </w:rPr>
      </w:pPr>
      <w:r w:rsidRPr="00791660">
        <w:rPr>
          <w:rFonts w:cs="Calibri"/>
        </w:rPr>
        <w:t>Administered verbally. Requires minimal training. Administration time is 10 minutes.</w:t>
      </w:r>
    </w:p>
    <w:p w:rsidR="00C7233D" w:rsidRDefault="00AC68C0" w:rsidP="00C7233D">
      <w:pPr>
        <w:pStyle w:val="Heading3"/>
      </w:pPr>
      <w:r w:rsidRPr="00791660">
        <w:t>COMMENTS</w:t>
      </w:r>
    </w:p>
    <w:p w:rsidR="00AC68C0" w:rsidRPr="00791660" w:rsidRDefault="009D6578" w:rsidP="00AC68C0">
      <w:pPr>
        <w:spacing w:after="120"/>
        <w:rPr>
          <w:rFonts w:cs="Calibri"/>
          <w:b/>
        </w:rPr>
      </w:pPr>
      <w:r w:rsidRPr="00791660">
        <w:rPr>
          <w:rFonts w:cs="Calibri"/>
        </w:rPr>
        <w:t>Adults 16-89</w:t>
      </w:r>
    </w:p>
    <w:p w:rsidR="00AC68C0" w:rsidRPr="00791660" w:rsidRDefault="00AC68C0" w:rsidP="00C7233D">
      <w:pPr>
        <w:pStyle w:val="Heading3"/>
      </w:pPr>
      <w:r w:rsidRPr="00791660">
        <w:t>RATIONALE</w:t>
      </w:r>
    </w:p>
    <w:p w:rsidR="009D6578" w:rsidRPr="00791660" w:rsidRDefault="009D6578" w:rsidP="00AC68C0">
      <w:pPr>
        <w:spacing w:after="120"/>
        <w:rPr>
          <w:rFonts w:cs="Calibri"/>
          <w:b/>
        </w:rPr>
      </w:pPr>
      <w:r w:rsidRPr="00791660">
        <w:rPr>
          <w:rFonts w:cs="Calibri"/>
        </w:rPr>
        <w:t>The Digit Span subtest is a widely used measure of auditory attention that is well-normed and sensitive to the effects of TBI</w:t>
      </w:r>
    </w:p>
    <w:p w:rsidR="00AC68C0" w:rsidRPr="00791660" w:rsidRDefault="00AC68C0" w:rsidP="00C7233D">
      <w:pPr>
        <w:pStyle w:val="Heading3"/>
      </w:pPr>
      <w:r w:rsidRPr="00791660">
        <w:t>REFERENCES</w:t>
      </w:r>
    </w:p>
    <w:p w:rsidR="009D6578" w:rsidRPr="00791660" w:rsidRDefault="009D6578" w:rsidP="00AC68C0">
      <w:pPr>
        <w:rPr>
          <w:rFonts w:cs="Calibri"/>
          <w:b/>
        </w:rPr>
      </w:pPr>
      <w:r w:rsidRPr="00791660">
        <w:rPr>
          <w:rFonts w:cs="Calibri"/>
        </w:rPr>
        <w:t>Wechsler, D. (1997) WAIS-III Administration and Scoring Manual. San Antonio, TX: The Psychological Corporation</w:t>
      </w:r>
    </w:p>
    <w:p w:rsidR="00AC68C0" w:rsidRPr="00791660" w:rsidRDefault="0085772F" w:rsidP="006C4F95">
      <w:pPr>
        <w:pStyle w:val="Heading2"/>
      </w:pPr>
      <w:r w:rsidRPr="00791660">
        <w:br w:type="page"/>
      </w:r>
      <w:r w:rsidR="00AC68C0" w:rsidRPr="00791660">
        <w:lastRenderedPageBreak/>
        <w:t>Wechsler Adult Intelligence Scale (WAIS-IV), Letter-Number Sequencing subtest</w:t>
      </w:r>
    </w:p>
    <w:p w:rsidR="009D6578" w:rsidRPr="00791660" w:rsidRDefault="009D6578" w:rsidP="00C7233D">
      <w:pPr>
        <w:pStyle w:val="Heading3"/>
      </w:pPr>
      <w:r w:rsidRPr="00791660">
        <w:t>DESCRIPTION</w:t>
      </w:r>
    </w:p>
    <w:p w:rsidR="00C7233D" w:rsidRDefault="009D6578" w:rsidP="00AC68C0">
      <w:pPr>
        <w:spacing w:after="120"/>
        <w:rPr>
          <w:rFonts w:cs="Calibri"/>
        </w:rPr>
      </w:pPr>
      <w:r w:rsidRPr="00791660">
        <w:rPr>
          <w:rFonts w:cs="Calibri"/>
        </w:rPr>
        <w:t>This is a complex span task involving simultaneous processing. The subject is presented with  a mixed list of  number</w:t>
      </w:r>
      <w:r w:rsidR="00C7233D">
        <w:rPr>
          <w:rFonts w:cs="Calibri"/>
        </w:rPr>
        <w:t>s and letters and their task is</w:t>
      </w:r>
      <w:r w:rsidRPr="00791660">
        <w:rPr>
          <w:rFonts w:cs="Calibri"/>
        </w:rPr>
        <w:t xml:space="preserve"> to repeat the list by saying the numbers first in ascending order and then the</w:t>
      </w:r>
      <w:r w:rsidR="00C7233D">
        <w:rPr>
          <w:rFonts w:cs="Calibri"/>
        </w:rPr>
        <w:t xml:space="preserve"> letters in alphabetical order.</w:t>
      </w:r>
    </w:p>
    <w:p w:rsidR="00AC68C0" w:rsidRPr="00791660" w:rsidRDefault="00AC68C0" w:rsidP="00C7233D">
      <w:pPr>
        <w:pStyle w:val="Heading3"/>
      </w:pPr>
      <w:r w:rsidRPr="00791660">
        <w:t xml:space="preserve">PERMISSIBLE VALUES </w:t>
      </w:r>
    </w:p>
    <w:p w:rsidR="009D6578" w:rsidRPr="00791660" w:rsidRDefault="009D6578" w:rsidP="00AC68C0">
      <w:pPr>
        <w:spacing w:after="120"/>
        <w:rPr>
          <w:rFonts w:cs="Calibri"/>
          <w:b/>
        </w:rPr>
      </w:pPr>
      <w:r w:rsidRPr="00791660">
        <w:rPr>
          <w:rFonts w:cs="Calibri"/>
        </w:rPr>
        <w:t xml:space="preserve">Performance on this measure is converted to scaled scores with a mean of 10 and standard deviation of 3. The scaled score is adjusted for age. </w:t>
      </w:r>
      <w:r w:rsidRPr="00791660">
        <w:rPr>
          <w:rFonts w:cs="Calibri"/>
        </w:rPr>
        <w:tab/>
      </w:r>
    </w:p>
    <w:p w:rsidR="00AC68C0" w:rsidRPr="00791660" w:rsidRDefault="00AC68C0" w:rsidP="00C7233D">
      <w:pPr>
        <w:pStyle w:val="Heading3"/>
      </w:pPr>
      <w:r w:rsidRPr="00791660">
        <w:t xml:space="preserve">PROCEDURES </w:t>
      </w:r>
    </w:p>
    <w:p w:rsidR="00C7233D" w:rsidRDefault="009D6578" w:rsidP="00AC68C0">
      <w:pPr>
        <w:spacing w:after="120"/>
        <w:rPr>
          <w:rFonts w:cs="Calibri"/>
        </w:rPr>
      </w:pPr>
      <w:r w:rsidRPr="00791660">
        <w:rPr>
          <w:rFonts w:cs="Calibri"/>
        </w:rPr>
        <w:t>Requires trained examiner to administer. Adm</w:t>
      </w:r>
      <w:r w:rsidR="00C7233D">
        <w:rPr>
          <w:rFonts w:cs="Calibri"/>
        </w:rPr>
        <w:t>inistration time is 5 minutes.</w:t>
      </w:r>
    </w:p>
    <w:p w:rsidR="00AC68C0" w:rsidRPr="00791660" w:rsidRDefault="00AC68C0" w:rsidP="00C7233D">
      <w:pPr>
        <w:pStyle w:val="Heading3"/>
      </w:pPr>
      <w:r w:rsidRPr="00791660">
        <w:t>COMMENTS</w:t>
      </w:r>
    </w:p>
    <w:p w:rsidR="009D6578" w:rsidRPr="00791660" w:rsidRDefault="009D6578" w:rsidP="00AC68C0">
      <w:pPr>
        <w:spacing w:after="120"/>
        <w:rPr>
          <w:rFonts w:cs="Calibri"/>
        </w:rPr>
      </w:pPr>
      <w:r w:rsidRPr="00791660">
        <w:rPr>
          <w:rFonts w:cs="Calibri"/>
        </w:rPr>
        <w:t>This is a performance based measure which requires the subject to understand what is required and participate in the testing. It requires a functional level in the severe disab</w:t>
      </w:r>
      <w:r w:rsidR="00C7233D">
        <w:rPr>
          <w:rFonts w:cs="Calibri"/>
        </w:rPr>
        <w:t>ility or above on the GOS/GOSE.</w:t>
      </w:r>
    </w:p>
    <w:p w:rsidR="00AC68C0" w:rsidRPr="00791660" w:rsidRDefault="00AC68C0" w:rsidP="00C7233D">
      <w:pPr>
        <w:pStyle w:val="Heading3"/>
      </w:pPr>
      <w:r w:rsidRPr="00791660">
        <w:t>RATIONALE</w:t>
      </w:r>
    </w:p>
    <w:p w:rsidR="009D6578" w:rsidRPr="00791660" w:rsidRDefault="009D6578" w:rsidP="00AC68C0">
      <w:pPr>
        <w:rPr>
          <w:rFonts w:cs="Calibri"/>
        </w:rPr>
      </w:pPr>
      <w:r w:rsidRPr="00791660">
        <w:rPr>
          <w:rFonts w:cs="Calibri"/>
        </w:rPr>
        <w:t>Highest factor analytic loading on Working Memory factor. Good psychometric properties and sensitivity to severity of TBI. Legacy measure for the NIH Toolbox Working Memory Subdomain.</w:t>
      </w:r>
    </w:p>
    <w:p w:rsidR="009D6578" w:rsidRPr="00791660" w:rsidRDefault="00AC68C0" w:rsidP="00C7233D">
      <w:pPr>
        <w:pStyle w:val="Heading3"/>
      </w:pPr>
      <w:r w:rsidRPr="00791660">
        <w:t>REFERENCES</w:t>
      </w:r>
      <w:r w:rsidR="009D6578" w:rsidRPr="00791660">
        <w:t xml:space="preserve"> </w:t>
      </w:r>
    </w:p>
    <w:p w:rsidR="00AC68C0" w:rsidRPr="00791660" w:rsidRDefault="009D6578" w:rsidP="00AC68C0">
      <w:pPr>
        <w:rPr>
          <w:rFonts w:cs="Calibri"/>
          <w:b/>
        </w:rPr>
      </w:pPr>
      <w:r w:rsidRPr="00791660">
        <w:rPr>
          <w:rFonts w:cs="Calibri"/>
        </w:rPr>
        <w:t>Wechsler Adult Intelligence Scale III. Letter-Number Sequencing Subtest. Pearson Education Inc, San Antonio, Texas.</w:t>
      </w:r>
    </w:p>
    <w:p w:rsidR="00AC68C0" w:rsidRPr="00791660" w:rsidRDefault="0085772F" w:rsidP="006C4F95">
      <w:pPr>
        <w:pStyle w:val="Heading2"/>
      </w:pPr>
      <w:r w:rsidRPr="00791660">
        <w:br w:type="page"/>
      </w:r>
      <w:r w:rsidR="00AC68C0" w:rsidRPr="00791660">
        <w:lastRenderedPageBreak/>
        <w:t xml:space="preserve">Wechsler Adult Intelligence Scale (WAIS-IV), Processing Speed Index </w:t>
      </w:r>
    </w:p>
    <w:p w:rsidR="00AC68C0" w:rsidRPr="00791660" w:rsidRDefault="00AC68C0" w:rsidP="00C7233D">
      <w:pPr>
        <w:pStyle w:val="Heading3"/>
      </w:pPr>
      <w:r w:rsidRPr="00791660">
        <w:t>DESCRIPTION</w:t>
      </w:r>
    </w:p>
    <w:p w:rsidR="009D6578" w:rsidRPr="00791660" w:rsidRDefault="009D6578" w:rsidP="009D6578">
      <w:pPr>
        <w:rPr>
          <w:rFonts w:cs="Calibri"/>
        </w:rPr>
      </w:pPr>
      <w:r w:rsidRPr="00791660">
        <w:rPr>
          <w:rFonts w:cs="Calibri"/>
        </w:rPr>
        <w:t>This index is based on 2 subtests of the Wechsler Adult Intelligence Scale. For Digit Symbol, examinee must accurately fill in symbols, according to matched number-symbol pairs in a key in 120 seconds.  For Symbol Search, examinee determines whether either of two target symbols match any of the symbols in a search group; examinee must respond to as man</w:t>
      </w:r>
      <w:r w:rsidR="00C7233D">
        <w:rPr>
          <w:rFonts w:cs="Calibri"/>
        </w:rPr>
        <w:t>y items as able in 120 seconds.</w:t>
      </w:r>
    </w:p>
    <w:p w:rsidR="00AC68C0" w:rsidRPr="00791660" w:rsidRDefault="00AC68C0" w:rsidP="00C7233D">
      <w:pPr>
        <w:pStyle w:val="Heading3"/>
      </w:pPr>
      <w:r w:rsidRPr="00791660">
        <w:t xml:space="preserve">PERMISSIBLE VALUES </w:t>
      </w:r>
    </w:p>
    <w:p w:rsidR="009D6578" w:rsidRPr="00791660" w:rsidRDefault="009D6578" w:rsidP="00AC68C0">
      <w:pPr>
        <w:spacing w:after="120"/>
        <w:rPr>
          <w:rFonts w:cs="Calibri"/>
        </w:rPr>
      </w:pPr>
      <w:r w:rsidRPr="00791660">
        <w:rPr>
          <w:rFonts w:cs="Calibri"/>
        </w:rPr>
        <w:t>The 2 subtests yield scaled scores adjusted for age with a mean of 10 and standard deviation of 3. The WAIS PS Index is based on the 2 subtests with a mean of 100 and standard de</w:t>
      </w:r>
      <w:r w:rsidR="00C7233D">
        <w:rPr>
          <w:rFonts w:cs="Calibri"/>
        </w:rPr>
        <w:t>viation of 15 adjusted for age.</w:t>
      </w:r>
    </w:p>
    <w:p w:rsidR="00AC68C0" w:rsidRPr="00791660" w:rsidRDefault="00AC68C0" w:rsidP="00C7233D">
      <w:pPr>
        <w:pStyle w:val="Heading3"/>
      </w:pPr>
      <w:r w:rsidRPr="00791660">
        <w:t xml:space="preserve">PROCEDURES </w:t>
      </w:r>
    </w:p>
    <w:p w:rsidR="009D6578" w:rsidRPr="00791660" w:rsidRDefault="009D6578" w:rsidP="00AC68C0">
      <w:pPr>
        <w:spacing w:after="120"/>
        <w:rPr>
          <w:rFonts w:cs="Calibri"/>
        </w:rPr>
      </w:pPr>
      <w:r w:rsidRPr="00791660">
        <w:rPr>
          <w:rFonts w:cs="Calibri"/>
        </w:rPr>
        <w:t>Requires trained examiner to administer and neuropsychologist or psychologist to interpret. Admin</w:t>
      </w:r>
      <w:r w:rsidR="00C7233D">
        <w:rPr>
          <w:rFonts w:cs="Calibri"/>
        </w:rPr>
        <w:t xml:space="preserve">istration time is 10 minutes. </w:t>
      </w:r>
    </w:p>
    <w:p w:rsidR="00AC68C0" w:rsidRPr="00791660" w:rsidRDefault="00AC68C0" w:rsidP="00AC68C0">
      <w:pPr>
        <w:spacing w:after="120"/>
        <w:rPr>
          <w:rFonts w:cs="Calibri"/>
          <w:b/>
        </w:rPr>
      </w:pPr>
      <w:r w:rsidRPr="00791660">
        <w:rPr>
          <w:rFonts w:cs="Calibri"/>
          <w:b/>
        </w:rPr>
        <w:t>COMMENTS</w:t>
      </w:r>
    </w:p>
    <w:p w:rsidR="009D6578" w:rsidRPr="00791660" w:rsidRDefault="009D6578" w:rsidP="00AC68C0">
      <w:pPr>
        <w:spacing w:after="120"/>
        <w:rPr>
          <w:rFonts w:cs="Calibri"/>
        </w:rPr>
      </w:pPr>
      <w:r w:rsidRPr="00791660">
        <w:rPr>
          <w:rFonts w:cs="Calibri"/>
        </w:rPr>
        <w:t>This is a performance based measure which requires the subject to understand what is required and participate in the testing. It requires a functional level in the severe disab</w:t>
      </w:r>
      <w:r w:rsidR="00C7233D">
        <w:rPr>
          <w:rFonts w:cs="Calibri"/>
        </w:rPr>
        <w:t>ility or above on the GOS/GOSE.</w:t>
      </w:r>
    </w:p>
    <w:p w:rsidR="00AC68C0" w:rsidRPr="00791660" w:rsidRDefault="00AC68C0" w:rsidP="00C7233D">
      <w:pPr>
        <w:pStyle w:val="Heading3"/>
      </w:pPr>
      <w:r w:rsidRPr="00791660">
        <w:t>RATIONALE</w:t>
      </w:r>
    </w:p>
    <w:p w:rsidR="009D6578" w:rsidRPr="00791660" w:rsidRDefault="009D6578" w:rsidP="00AC68C0">
      <w:pPr>
        <w:rPr>
          <w:rFonts w:cs="Calibri"/>
        </w:rPr>
      </w:pPr>
      <w:r w:rsidRPr="00791660">
        <w:rPr>
          <w:rFonts w:cs="Calibri"/>
        </w:rPr>
        <w:t>Good psychometric properties. Sensitive to TBI and its severity. Legacy measure for NIH Tool</w:t>
      </w:r>
      <w:r w:rsidR="00C7233D">
        <w:rPr>
          <w:rFonts w:cs="Calibri"/>
        </w:rPr>
        <w:t>box Processing Speed Subdomain.</w:t>
      </w:r>
    </w:p>
    <w:p w:rsidR="009D6578" w:rsidRPr="00791660" w:rsidRDefault="00AC68C0" w:rsidP="00C7233D">
      <w:pPr>
        <w:pStyle w:val="Heading3"/>
      </w:pPr>
      <w:r w:rsidRPr="00791660">
        <w:t>REFERENCES</w:t>
      </w:r>
      <w:r w:rsidR="009D6578" w:rsidRPr="00791660">
        <w:t xml:space="preserve"> </w:t>
      </w:r>
    </w:p>
    <w:p w:rsidR="00AC68C0" w:rsidRPr="00791660" w:rsidRDefault="009D6578" w:rsidP="00AC68C0">
      <w:pPr>
        <w:rPr>
          <w:rFonts w:cs="Calibri"/>
          <w:b/>
        </w:rPr>
      </w:pPr>
      <w:r w:rsidRPr="00791660">
        <w:rPr>
          <w:rFonts w:cs="Calibri"/>
        </w:rPr>
        <w:t>Wechsler Adult Intelligence Scale III/IV. Processing Speed Index. Pearson Education Inc, San Antonio, Texas.</w:t>
      </w:r>
    </w:p>
    <w:p w:rsidR="0085772F" w:rsidRPr="00791660" w:rsidRDefault="0085772F" w:rsidP="006C4F95">
      <w:pPr>
        <w:pStyle w:val="Heading2"/>
      </w:pPr>
      <w:r w:rsidRPr="00791660">
        <w:br w:type="page"/>
      </w:r>
      <w:r w:rsidRPr="00391939">
        <w:lastRenderedPageBreak/>
        <w:t>Wide-Range Assessment of Memory and Learning-Revised (WRAML-2)</w:t>
      </w:r>
    </w:p>
    <w:p w:rsidR="0085772F" w:rsidRDefault="0085772F" w:rsidP="00C7233D">
      <w:pPr>
        <w:pStyle w:val="Heading3"/>
      </w:pPr>
      <w:r w:rsidRPr="00791660">
        <w:t>DESCRIPTION:</w:t>
      </w:r>
    </w:p>
    <w:p w:rsidR="00060A3F" w:rsidRPr="00391939" w:rsidRDefault="00060A3F" w:rsidP="0085772F">
      <w:pPr>
        <w:rPr>
          <w:rFonts w:cs="Calibri"/>
        </w:rPr>
      </w:pPr>
      <w:r w:rsidRPr="00391939">
        <w:rPr>
          <w:rFonts w:cs="Calibri"/>
        </w:rPr>
        <w:t>The WRAML-2 measure</w:t>
      </w:r>
      <w:r w:rsidR="008C10F5">
        <w:rPr>
          <w:rFonts w:cs="Calibri"/>
        </w:rPr>
        <w:t>s</w:t>
      </w:r>
      <w:r w:rsidRPr="00391939">
        <w:rPr>
          <w:rFonts w:cs="Calibri"/>
        </w:rPr>
        <w:t xml:space="preserve"> verbal and visual learning abilities</w:t>
      </w:r>
      <w:r w:rsidR="00391939" w:rsidRPr="00391939">
        <w:rPr>
          <w:rFonts w:cs="Calibri"/>
        </w:rPr>
        <w:t xml:space="preserve">, including </w:t>
      </w:r>
      <w:r w:rsidRPr="00391939">
        <w:rPr>
          <w:rFonts w:cs="Calibri"/>
        </w:rPr>
        <w:t xml:space="preserve">verbal memory; visual memory; attention and concentration; and working memory. </w:t>
      </w:r>
      <w:r w:rsidR="008C10F5">
        <w:rPr>
          <w:rFonts w:cs="Calibri"/>
        </w:rPr>
        <w:t>It assess both immediate and delayed memory.</w:t>
      </w:r>
    </w:p>
    <w:p w:rsidR="0085772F" w:rsidRDefault="0085772F" w:rsidP="00C7233D">
      <w:pPr>
        <w:pStyle w:val="Heading3"/>
      </w:pPr>
      <w:r w:rsidRPr="00791660">
        <w:t>PERMISSIBLE VALUES:</w:t>
      </w:r>
    </w:p>
    <w:p w:rsidR="00060A3F" w:rsidRPr="00391939" w:rsidRDefault="00060A3F" w:rsidP="0085772F">
      <w:pPr>
        <w:rPr>
          <w:rFonts w:cs="Calibri"/>
        </w:rPr>
      </w:pPr>
      <w:r w:rsidRPr="00391939">
        <w:rPr>
          <w:rFonts w:cs="Calibri"/>
        </w:rPr>
        <w:t>Standard scores for the entire index (M=100, SD=15) and subtests (M=10,</w:t>
      </w:r>
      <w:r w:rsidR="00391939">
        <w:rPr>
          <w:rFonts w:cs="Calibri"/>
        </w:rPr>
        <w:t xml:space="preserve"> SD=3) and percentile ranks </w:t>
      </w:r>
      <w:r w:rsidRPr="00391939">
        <w:rPr>
          <w:rFonts w:cs="Calibri"/>
        </w:rPr>
        <w:t>by age.</w:t>
      </w:r>
    </w:p>
    <w:p w:rsidR="0085772F" w:rsidRDefault="0085772F" w:rsidP="00C7233D">
      <w:pPr>
        <w:pStyle w:val="Heading3"/>
      </w:pPr>
      <w:r w:rsidRPr="00791660">
        <w:t>PROCEDURE:</w:t>
      </w:r>
    </w:p>
    <w:p w:rsidR="00060A3F" w:rsidRPr="00391939" w:rsidRDefault="00060A3F" w:rsidP="0085772F">
      <w:pPr>
        <w:rPr>
          <w:rFonts w:cs="Calibri"/>
        </w:rPr>
      </w:pPr>
      <w:r w:rsidRPr="00391939">
        <w:rPr>
          <w:rFonts w:cs="Calibri"/>
        </w:rPr>
        <w:t>The core battery take</w:t>
      </w:r>
      <w:r w:rsidR="00391939">
        <w:rPr>
          <w:rFonts w:cs="Calibri"/>
        </w:rPr>
        <w:t>s</w:t>
      </w:r>
      <w:r w:rsidRPr="00391939">
        <w:rPr>
          <w:rFonts w:cs="Calibri"/>
        </w:rPr>
        <w:t xml:space="preserve"> under 1 hour and the Memory Screening Form takes 10-15 minutes.</w:t>
      </w:r>
    </w:p>
    <w:p w:rsidR="0085772F" w:rsidRDefault="0085772F" w:rsidP="00C7233D">
      <w:pPr>
        <w:pStyle w:val="Heading3"/>
      </w:pPr>
      <w:r w:rsidRPr="00791660">
        <w:t>COMMENTS:</w:t>
      </w:r>
    </w:p>
    <w:p w:rsidR="00060A3F" w:rsidRPr="00391939" w:rsidRDefault="00060A3F" w:rsidP="0085772F">
      <w:pPr>
        <w:rPr>
          <w:rFonts w:cs="Calibri"/>
        </w:rPr>
      </w:pPr>
      <w:r w:rsidRPr="00391939">
        <w:rPr>
          <w:rFonts w:cs="Calibri"/>
        </w:rPr>
        <w:t>The WRAML2 is appropriate for ages 5-90.</w:t>
      </w:r>
    </w:p>
    <w:p w:rsidR="0085772F" w:rsidRDefault="0085772F" w:rsidP="00C7233D">
      <w:pPr>
        <w:pStyle w:val="Heading3"/>
      </w:pPr>
      <w:r w:rsidRPr="00791660">
        <w:t>RATIONALE:</w:t>
      </w:r>
    </w:p>
    <w:p w:rsidR="00391939" w:rsidRPr="00391939" w:rsidRDefault="00391939" w:rsidP="0085772F">
      <w:pPr>
        <w:rPr>
          <w:rFonts w:cs="Calibri"/>
        </w:rPr>
      </w:pPr>
      <w:r w:rsidRPr="00391939">
        <w:rPr>
          <w:rFonts w:cs="Calibri"/>
        </w:rPr>
        <w:t>“</w:t>
      </w:r>
      <w:r w:rsidR="00060A3F" w:rsidRPr="00391939">
        <w:rPr>
          <w:rFonts w:cs="Calibri"/>
        </w:rPr>
        <w:t>The WRAML-2 and its predecessor have excellent psychometric properties and have been found to be useful in studies of pediatric TBI.</w:t>
      </w:r>
      <w:r w:rsidRPr="00391939">
        <w:rPr>
          <w:rFonts w:cs="Calibri"/>
        </w:rPr>
        <w:t>”</w:t>
      </w:r>
      <w:r>
        <w:rPr>
          <w:rFonts w:cs="Calibri"/>
        </w:rPr>
        <w:t xml:space="preserve"> – McCauley et al. 2012</w:t>
      </w:r>
    </w:p>
    <w:p w:rsidR="0085772F" w:rsidRDefault="0085772F" w:rsidP="00C7233D">
      <w:pPr>
        <w:pStyle w:val="Heading3"/>
      </w:pPr>
      <w:r w:rsidRPr="00791660">
        <w:t>REFERENCES:</w:t>
      </w:r>
    </w:p>
    <w:p w:rsidR="00060A3F" w:rsidRPr="00391939" w:rsidRDefault="00060A3F" w:rsidP="00060A3F">
      <w:pPr>
        <w:rPr>
          <w:rFonts w:cs="Calibri"/>
        </w:rPr>
      </w:pPr>
      <w:r w:rsidRPr="00391939">
        <w:rPr>
          <w:rFonts w:cs="Calibri"/>
        </w:rPr>
        <w:t>Sheslow, D., and Adams, W. (2003). Wide Range Assessment of Memory and Learning--Revised (WRAML-2). Administration and Technical Manual. Wide Range, Inc: Wilmington, DE.</w:t>
      </w:r>
    </w:p>
    <w:p w:rsidR="00060A3F" w:rsidRPr="00391939" w:rsidRDefault="00060A3F" w:rsidP="00060A3F">
      <w:pPr>
        <w:rPr>
          <w:rFonts w:cs="Calibri"/>
        </w:rPr>
      </w:pPr>
      <w:r w:rsidRPr="00391939">
        <w:rPr>
          <w:rFonts w:cs="Calibri"/>
        </w:rPr>
        <w:t>Donders, J., and Hoffman, N. (2002). Gender differences in learning and memory after pediatric traumatic brain injury. Neuropsychology 16(4), 491-499.</w:t>
      </w:r>
    </w:p>
    <w:p w:rsidR="00060A3F" w:rsidRPr="00391939" w:rsidRDefault="00060A3F" w:rsidP="00060A3F">
      <w:pPr>
        <w:rPr>
          <w:rFonts w:cs="Calibri"/>
        </w:rPr>
      </w:pPr>
      <w:r w:rsidRPr="00391939">
        <w:rPr>
          <w:rFonts w:cs="Calibri"/>
        </w:rPr>
        <w:t>Farmer, J., Haut, J., Williams, J., Kapila, C., Johnstone, B., and Kirk, K. (1999). Comprehensive assessment of memory functioning following traumatic brain injury in children. Dev Neuropsychol 15(2), 269-289.</w:t>
      </w:r>
    </w:p>
    <w:p w:rsidR="00060A3F" w:rsidRPr="00391939" w:rsidRDefault="00060A3F" w:rsidP="00060A3F">
      <w:pPr>
        <w:rPr>
          <w:rFonts w:cs="Calibri"/>
        </w:rPr>
      </w:pPr>
      <w:r w:rsidRPr="00391939">
        <w:rPr>
          <w:rFonts w:cs="Calibri"/>
        </w:rPr>
        <w:t>Williams, J., and Haut, J. (1995). Differential performances on the WRAML in children and adolescents diagnosed with epilepsy, head injury and substance abuse. Dev Neuropsychol 11(2), 201-213.</w:t>
      </w:r>
    </w:p>
    <w:p w:rsidR="00060A3F" w:rsidRPr="00391939" w:rsidRDefault="00060A3F" w:rsidP="00060A3F">
      <w:pPr>
        <w:rPr>
          <w:rFonts w:cs="Calibri"/>
        </w:rPr>
      </w:pPr>
      <w:r w:rsidRPr="00391939">
        <w:rPr>
          <w:rFonts w:cs="Calibri"/>
        </w:rPr>
        <w:t>Woodward, H., and Donders, J. (1998). The performance of children with traumatic head injury on the Wide Range Assessment of Memory and Learning--Screening. Appl</w:t>
      </w:r>
      <w:r w:rsidR="00391939">
        <w:rPr>
          <w:rFonts w:cs="Calibri"/>
        </w:rPr>
        <w:t xml:space="preserve"> </w:t>
      </w:r>
      <w:r w:rsidRPr="00391939">
        <w:rPr>
          <w:rFonts w:cs="Calibri"/>
        </w:rPr>
        <w:t>Neuropsychol 5(3), 113-119.</w:t>
      </w:r>
    </w:p>
    <w:p w:rsidR="0085772F" w:rsidRPr="00391939" w:rsidRDefault="0085772F" w:rsidP="0085772F">
      <w:pPr>
        <w:rPr>
          <w:rFonts w:cs="Calibri"/>
          <w:i/>
        </w:rPr>
      </w:pPr>
    </w:p>
    <w:p w:rsidR="00426588" w:rsidRPr="00791660" w:rsidRDefault="0085772F" w:rsidP="006C4F95">
      <w:pPr>
        <w:pStyle w:val="Heading2"/>
      </w:pPr>
      <w:r w:rsidRPr="00391939">
        <w:br w:type="page"/>
      </w:r>
      <w:r w:rsidR="00426588" w:rsidRPr="006B5C46">
        <w:lastRenderedPageBreak/>
        <w:t xml:space="preserve">WISC-4/WPPSI-3 </w:t>
      </w:r>
      <w:r w:rsidR="009B4015" w:rsidRPr="006B5C46">
        <w:t xml:space="preserve">Block Design </w:t>
      </w:r>
    </w:p>
    <w:p w:rsidR="00426588" w:rsidRDefault="00426588" w:rsidP="00C7233D">
      <w:pPr>
        <w:pStyle w:val="Heading3"/>
      </w:pPr>
      <w:r w:rsidRPr="00791660">
        <w:t>DESCRIPTION:</w:t>
      </w:r>
    </w:p>
    <w:p w:rsidR="00060A3F" w:rsidRPr="006B5C46" w:rsidRDefault="006B5C46" w:rsidP="00426588">
      <w:pPr>
        <w:rPr>
          <w:rFonts w:cs="Calibri"/>
        </w:rPr>
      </w:pPr>
      <w:r>
        <w:rPr>
          <w:rFonts w:cs="Calibri"/>
        </w:rPr>
        <w:t>The</w:t>
      </w:r>
      <w:r w:rsidR="00060A3F" w:rsidRPr="006B5C46">
        <w:rPr>
          <w:rFonts w:cs="Calibri"/>
        </w:rPr>
        <w:t xml:space="preserve"> Wechsler </w:t>
      </w:r>
      <w:r w:rsidRPr="006B5C46">
        <w:rPr>
          <w:rFonts w:cs="Calibri"/>
        </w:rPr>
        <w:t xml:space="preserve">Block Design </w:t>
      </w:r>
      <w:r w:rsidR="00060A3F" w:rsidRPr="006B5C46">
        <w:rPr>
          <w:rFonts w:cs="Calibri"/>
        </w:rPr>
        <w:t xml:space="preserve">subtest </w:t>
      </w:r>
      <w:r w:rsidRPr="006B5C46">
        <w:rPr>
          <w:rFonts w:cs="Calibri"/>
        </w:rPr>
        <w:t xml:space="preserve">measures a subject’s </w:t>
      </w:r>
      <w:r w:rsidR="00060A3F" w:rsidRPr="006B5C46">
        <w:rPr>
          <w:rFonts w:cs="Calibri"/>
        </w:rPr>
        <w:t xml:space="preserve">ability to synthesize abstract visual information. </w:t>
      </w:r>
    </w:p>
    <w:p w:rsidR="00426588" w:rsidRDefault="00426588" w:rsidP="00C7233D">
      <w:pPr>
        <w:pStyle w:val="Heading3"/>
      </w:pPr>
      <w:r w:rsidRPr="00791660">
        <w:t>PERMISSIBLE VALUES:</w:t>
      </w:r>
    </w:p>
    <w:p w:rsidR="00060A3F" w:rsidRPr="00391939" w:rsidRDefault="00060A3F" w:rsidP="00426588">
      <w:pPr>
        <w:rPr>
          <w:rFonts w:cs="Calibri"/>
        </w:rPr>
      </w:pPr>
      <w:r w:rsidRPr="00391939">
        <w:rPr>
          <w:rFonts w:cs="Calibri"/>
        </w:rPr>
        <w:t>The Block Design subtest is part of the assessment for performance IQ, which yields an IQ between 40 and 160 (M=100, SD=15).</w:t>
      </w:r>
    </w:p>
    <w:p w:rsidR="00426588" w:rsidRDefault="00426588" w:rsidP="00C7233D">
      <w:pPr>
        <w:pStyle w:val="Heading3"/>
      </w:pPr>
      <w:r w:rsidRPr="00791660">
        <w:t>PROCEDURE:</w:t>
      </w:r>
    </w:p>
    <w:p w:rsidR="00060A3F" w:rsidRPr="006B5C46" w:rsidRDefault="00060A3F" w:rsidP="00426588">
      <w:pPr>
        <w:rPr>
          <w:rFonts w:cs="Calibri"/>
        </w:rPr>
      </w:pPr>
      <w:r w:rsidRPr="006B5C46">
        <w:rPr>
          <w:rFonts w:cs="Calibri"/>
        </w:rPr>
        <w:t>The tests are individually administered and completed by paper-and-pencil. Individuals qualified to use the instrument would have a doctorate in psychology, education, or a related field.</w:t>
      </w:r>
    </w:p>
    <w:p w:rsidR="00426588" w:rsidRDefault="00426588" w:rsidP="0019665E">
      <w:pPr>
        <w:pStyle w:val="Heading3"/>
      </w:pPr>
      <w:r w:rsidRPr="00791660">
        <w:t>COMMENTS:</w:t>
      </w:r>
    </w:p>
    <w:p w:rsidR="00060A3F" w:rsidRPr="006B5C46" w:rsidRDefault="00060A3F" w:rsidP="00426588">
      <w:pPr>
        <w:rPr>
          <w:rFonts w:cs="Calibri"/>
        </w:rPr>
      </w:pPr>
      <w:r w:rsidRPr="006B5C46">
        <w:rPr>
          <w:rFonts w:cs="Calibri"/>
        </w:rPr>
        <w:t>Children 2:6 to 7:3 can complete the WPPSI-III and children 6-16 can complete the WISC-IV.</w:t>
      </w:r>
    </w:p>
    <w:p w:rsidR="00426588" w:rsidRDefault="00426588" w:rsidP="0019665E">
      <w:pPr>
        <w:pStyle w:val="Heading3"/>
      </w:pPr>
      <w:r w:rsidRPr="00791660">
        <w:t>REFERENCES:</w:t>
      </w:r>
    </w:p>
    <w:p w:rsidR="00060A3F" w:rsidRPr="00391939" w:rsidRDefault="00060A3F" w:rsidP="00060A3F">
      <w:pPr>
        <w:rPr>
          <w:rFonts w:cs="Calibri"/>
        </w:rPr>
      </w:pPr>
      <w:r w:rsidRPr="00391939">
        <w:rPr>
          <w:rFonts w:cs="Calibri"/>
        </w:rPr>
        <w:t>Wechsler, D. (2002). Wechsler Preschool and Primary Scale of Inteligence, 3rd edition administration manual. Pearson Assessments: San Antonio, TX.</w:t>
      </w:r>
    </w:p>
    <w:p w:rsidR="00060A3F" w:rsidRPr="00391939" w:rsidRDefault="00060A3F" w:rsidP="00060A3F">
      <w:pPr>
        <w:rPr>
          <w:rFonts w:cs="Calibri"/>
        </w:rPr>
      </w:pPr>
      <w:r w:rsidRPr="00391939">
        <w:rPr>
          <w:rFonts w:cs="Calibri"/>
        </w:rPr>
        <w:t>Wechsler, D. (2003a). WISC-IV administration manual. Pearson Assessments: San Antonio, TX.</w:t>
      </w:r>
    </w:p>
    <w:p w:rsidR="00060A3F" w:rsidRPr="00391939" w:rsidRDefault="00060A3F" w:rsidP="00060A3F">
      <w:pPr>
        <w:rPr>
          <w:rFonts w:cs="Calibri"/>
        </w:rPr>
      </w:pPr>
      <w:r w:rsidRPr="00391939">
        <w:rPr>
          <w:rFonts w:cs="Calibri"/>
        </w:rPr>
        <w:t>Wechsler, D. (2003b). WISC-IV technical and interpretive manual. Pearson Assessments: San Antonio, TX.</w:t>
      </w:r>
    </w:p>
    <w:p w:rsidR="00060A3F" w:rsidRPr="00391939" w:rsidRDefault="00060A3F" w:rsidP="00060A3F">
      <w:pPr>
        <w:rPr>
          <w:rFonts w:cs="Calibri"/>
        </w:rPr>
      </w:pPr>
      <w:r w:rsidRPr="00391939">
        <w:rPr>
          <w:rFonts w:cs="Calibri"/>
        </w:rPr>
        <w:t>Prigatano, G., and Gray, J. (2008a). Predictors of performance on three developmentally sensitive neuropsychological tests in children with and without traumatic brain injury.Brain Inj 22(6), 491-500.</w:t>
      </w:r>
    </w:p>
    <w:p w:rsidR="00060A3F" w:rsidRPr="00391939" w:rsidRDefault="00060A3F" w:rsidP="00060A3F">
      <w:pPr>
        <w:rPr>
          <w:rFonts w:cs="Calibri"/>
        </w:rPr>
      </w:pPr>
      <w:r w:rsidRPr="00391939">
        <w:rPr>
          <w:rFonts w:cs="Calibri"/>
        </w:rPr>
        <w:t>Prigatano, G., Gray, J., and Gale, S. (2008b). Individual case analysis of processing speed difficulties in children with and without traumatic brain injury. Clin Neuropsychol 22(4), 603-619.</w:t>
      </w:r>
    </w:p>
    <w:p w:rsidR="0085772F" w:rsidRPr="00791660" w:rsidRDefault="00426588" w:rsidP="006C4F95">
      <w:pPr>
        <w:pStyle w:val="Heading2"/>
      </w:pPr>
      <w:r w:rsidRPr="00391939">
        <w:br w:type="page"/>
      </w:r>
      <w:r w:rsidR="0085772F" w:rsidRPr="006B5C46">
        <w:lastRenderedPageBreak/>
        <w:t>WISC-IV/WPPSI-III Processing Speed Index</w:t>
      </w:r>
    </w:p>
    <w:p w:rsidR="0085772F" w:rsidRDefault="0085772F" w:rsidP="0019665E">
      <w:pPr>
        <w:pStyle w:val="Heading3"/>
      </w:pPr>
      <w:r w:rsidRPr="00791660">
        <w:t>DESCRIPTION:</w:t>
      </w:r>
    </w:p>
    <w:p w:rsidR="00060A3F" w:rsidRPr="006B5C46" w:rsidRDefault="006B5C46" w:rsidP="0085772F">
      <w:pPr>
        <w:rPr>
          <w:rFonts w:cs="Calibri"/>
        </w:rPr>
      </w:pPr>
      <w:r w:rsidRPr="006B5C46">
        <w:rPr>
          <w:rFonts w:cs="Calibri"/>
        </w:rPr>
        <w:t xml:space="preserve">The Wechsler Processing Speed Index is calculated from the </w:t>
      </w:r>
      <w:r w:rsidR="00060A3F" w:rsidRPr="006B5C46">
        <w:rPr>
          <w:rFonts w:cs="Calibri"/>
        </w:rPr>
        <w:t xml:space="preserve">Coding and Symbol Search subtests. </w:t>
      </w:r>
    </w:p>
    <w:p w:rsidR="0085772F" w:rsidRDefault="0085772F" w:rsidP="0019665E">
      <w:pPr>
        <w:pStyle w:val="Heading3"/>
      </w:pPr>
      <w:r w:rsidRPr="00791660">
        <w:t>PERMISSIBLE VALUES:</w:t>
      </w:r>
    </w:p>
    <w:p w:rsidR="00060A3F" w:rsidRPr="00391939" w:rsidRDefault="00060A3F" w:rsidP="0085772F">
      <w:pPr>
        <w:rPr>
          <w:rFonts w:cs="Calibri"/>
        </w:rPr>
      </w:pPr>
      <w:r w:rsidRPr="00391939">
        <w:rPr>
          <w:rFonts w:cs="Calibri"/>
        </w:rPr>
        <w:t>Test results in a score for processing speed (M=100, SD=15, range=40-160).</w:t>
      </w:r>
    </w:p>
    <w:p w:rsidR="0085772F" w:rsidRDefault="0085772F" w:rsidP="0019665E">
      <w:pPr>
        <w:pStyle w:val="Heading3"/>
      </w:pPr>
      <w:r w:rsidRPr="00791660">
        <w:t>PROCEDURE:</w:t>
      </w:r>
    </w:p>
    <w:p w:rsidR="00060A3F" w:rsidRPr="00391939" w:rsidRDefault="00060A3F" w:rsidP="0085772F">
      <w:pPr>
        <w:rPr>
          <w:rFonts w:cs="Calibri"/>
        </w:rPr>
      </w:pPr>
      <w:r w:rsidRPr="00391939">
        <w:rPr>
          <w:rFonts w:cs="Calibri"/>
        </w:rPr>
        <w:t>Test results in a score for processing speed (M=100, SD=15, range=40-160).</w:t>
      </w:r>
    </w:p>
    <w:p w:rsidR="0085772F" w:rsidRDefault="0085772F" w:rsidP="0019665E">
      <w:pPr>
        <w:pStyle w:val="Heading3"/>
      </w:pPr>
      <w:r w:rsidRPr="00791660">
        <w:t>COMMENTS:</w:t>
      </w:r>
    </w:p>
    <w:p w:rsidR="00060A3F" w:rsidRPr="00391939" w:rsidRDefault="00060A3F" w:rsidP="0085772F">
      <w:pPr>
        <w:rPr>
          <w:rFonts w:cs="Calibri"/>
        </w:rPr>
      </w:pPr>
      <w:r w:rsidRPr="00391939">
        <w:rPr>
          <w:rFonts w:cs="Calibri"/>
        </w:rPr>
        <w:t>The WISC-IV is appropriate for children 6-16 years, and the WPPSI-III is appropriate for children 4:0-7:3 years.</w:t>
      </w:r>
    </w:p>
    <w:p w:rsidR="0085772F" w:rsidRDefault="0085772F" w:rsidP="0019665E">
      <w:pPr>
        <w:pStyle w:val="Heading3"/>
      </w:pPr>
      <w:r w:rsidRPr="00791660">
        <w:t>RATIONALE:</w:t>
      </w:r>
    </w:p>
    <w:p w:rsidR="00060A3F" w:rsidRPr="006B5C46" w:rsidRDefault="006B5C46" w:rsidP="0085772F">
      <w:pPr>
        <w:rPr>
          <w:rFonts w:cs="Calibri"/>
        </w:rPr>
      </w:pPr>
      <w:r w:rsidRPr="006B5C46">
        <w:rPr>
          <w:rFonts w:cs="Calibri"/>
        </w:rPr>
        <w:t>“</w:t>
      </w:r>
      <w:r w:rsidR="00060A3F" w:rsidRPr="006B5C46">
        <w:rPr>
          <w:rFonts w:cs="Calibri"/>
        </w:rPr>
        <w:t>The tests have extensive normative data and excellent psychometric properties. As a measure of information processing rate, these indices from the WISC-III and WISC-IV are highly sensitive to the effects of TBI and its severity. It has been used in different languages, cultures, and ethnic groups. The WISC-IV Spanish version was designed to assess Spanish-speaking children in the United States and is</w:t>
      </w:r>
      <w:r>
        <w:rPr>
          <w:rFonts w:cs="Calibri"/>
        </w:rPr>
        <w:t xml:space="preserve"> available from the publisher. </w:t>
      </w:r>
      <w:r w:rsidR="00AD54D0">
        <w:rPr>
          <w:rFonts w:cs="Calibri"/>
        </w:rPr>
        <w:t>“–</w:t>
      </w:r>
      <w:r>
        <w:rPr>
          <w:rFonts w:cs="Calibri"/>
        </w:rPr>
        <w:t xml:space="preserve"> McCauley et al. 2012</w:t>
      </w:r>
    </w:p>
    <w:p w:rsidR="0085772F" w:rsidRDefault="0085772F" w:rsidP="0019665E">
      <w:pPr>
        <w:pStyle w:val="Heading3"/>
      </w:pPr>
      <w:r w:rsidRPr="00791660">
        <w:t>REFERENCES:</w:t>
      </w:r>
    </w:p>
    <w:p w:rsidR="00060A3F" w:rsidRPr="00391939" w:rsidRDefault="00060A3F" w:rsidP="00060A3F">
      <w:pPr>
        <w:rPr>
          <w:rFonts w:cs="Calibri"/>
        </w:rPr>
      </w:pPr>
      <w:r w:rsidRPr="00391939">
        <w:rPr>
          <w:rFonts w:cs="Calibri"/>
        </w:rPr>
        <w:t>Wechsler, D. (2003a). WISC-IV administration manual. Pearson Assessments: San Antonio, TX.</w:t>
      </w:r>
    </w:p>
    <w:p w:rsidR="00060A3F" w:rsidRPr="00391939" w:rsidRDefault="00060A3F" w:rsidP="00060A3F">
      <w:pPr>
        <w:rPr>
          <w:rFonts w:cs="Calibri"/>
        </w:rPr>
      </w:pPr>
      <w:r w:rsidRPr="00391939">
        <w:rPr>
          <w:rFonts w:cs="Calibri"/>
        </w:rPr>
        <w:t>Flanagan, D., and Kaufman, A. (2004). Essentials of WISC-IV assessment. John Wiley &amp; Sons:</w:t>
      </w:r>
    </w:p>
    <w:p w:rsidR="00060A3F" w:rsidRPr="00391939" w:rsidRDefault="00060A3F" w:rsidP="00060A3F">
      <w:pPr>
        <w:rPr>
          <w:rFonts w:cs="Calibri"/>
        </w:rPr>
      </w:pPr>
      <w:r w:rsidRPr="00391939">
        <w:rPr>
          <w:rFonts w:cs="Calibri"/>
        </w:rPr>
        <w:t>Hoboken, NJ.Prifitera, A., Saklofske, D., and Weiss, L. (Eds.). (2005). WISC-IV clinical use and interpretation: Scientist-practitioner perspectives. New York: Elsevier Academic Press.</w:t>
      </w:r>
    </w:p>
    <w:p w:rsidR="00060A3F" w:rsidRPr="00391939" w:rsidRDefault="00060A3F" w:rsidP="00060A3F">
      <w:pPr>
        <w:rPr>
          <w:rFonts w:cs="Calibri"/>
        </w:rPr>
      </w:pPr>
      <w:r w:rsidRPr="00391939">
        <w:rPr>
          <w:rFonts w:cs="Calibri"/>
        </w:rPr>
        <w:t>Sattler, J., and Dumont, R. (2004). Assessment of children: WISC-IV and WPPSI supplement. Jerome M. Sattler Publisher, Inc: San Diego,CA</w:t>
      </w:r>
    </w:p>
    <w:p w:rsidR="00060A3F" w:rsidRPr="00391939" w:rsidRDefault="00060A3F" w:rsidP="00060A3F">
      <w:pPr>
        <w:rPr>
          <w:rFonts w:cs="Calibri"/>
        </w:rPr>
      </w:pPr>
      <w:r w:rsidRPr="00391939">
        <w:rPr>
          <w:rFonts w:cs="Calibri"/>
        </w:rPr>
        <w:t>Wechsler, D. (2003b). WISC-IV technical and interpretive manual. Pearson Assessments: San Antonio, TX.</w:t>
      </w:r>
    </w:p>
    <w:p w:rsidR="00060A3F" w:rsidRPr="00391939" w:rsidRDefault="00060A3F" w:rsidP="00060A3F">
      <w:pPr>
        <w:rPr>
          <w:rFonts w:cs="Calibri"/>
        </w:rPr>
      </w:pPr>
      <w:r w:rsidRPr="00391939">
        <w:rPr>
          <w:rFonts w:cs="Calibri"/>
        </w:rPr>
        <w:t>Wechsler, D. (2002). Wechsler Preschool and Primary Scale of Inteligence, 3rd edition administration manual. Pearson Assessments: San Antonio, TX.</w:t>
      </w:r>
    </w:p>
    <w:p w:rsidR="00060A3F" w:rsidRPr="00391939" w:rsidRDefault="00060A3F" w:rsidP="00060A3F">
      <w:pPr>
        <w:rPr>
          <w:rFonts w:cs="Calibri"/>
        </w:rPr>
      </w:pPr>
      <w:r w:rsidRPr="00391939">
        <w:rPr>
          <w:rFonts w:cs="Calibri"/>
        </w:rPr>
        <w:t>Allen, D., Thaler, N., Donohue, B., and Mayfield, J. (2010). WISC-IV profiles in children with traumatic brain injury: Similarities to and differences from the WISC-III. Psychol Assess 22(1), 57-64.</w:t>
      </w:r>
    </w:p>
    <w:p w:rsidR="00060A3F" w:rsidRPr="00391939" w:rsidRDefault="00060A3F" w:rsidP="00060A3F">
      <w:pPr>
        <w:rPr>
          <w:rFonts w:cs="Calibri"/>
        </w:rPr>
      </w:pPr>
      <w:r w:rsidRPr="00391939">
        <w:rPr>
          <w:rFonts w:cs="Calibri"/>
        </w:rPr>
        <w:lastRenderedPageBreak/>
        <w:t>Donders, J. (1997). Sensitivity of the WISC-III to injury severity in children with traumatic head injury. Assessment 4, 107-109.</w:t>
      </w:r>
    </w:p>
    <w:p w:rsidR="00060A3F" w:rsidRPr="00391939" w:rsidRDefault="00060A3F" w:rsidP="00060A3F">
      <w:pPr>
        <w:rPr>
          <w:rFonts w:cs="Calibri"/>
        </w:rPr>
      </w:pPr>
      <w:r w:rsidRPr="00391939">
        <w:rPr>
          <w:rFonts w:cs="Calibri"/>
        </w:rPr>
        <w:t>Donders, J., and Janke, K. (2008). Criterion validity of the Wechsler Intelligence Scale for Children--Fourth Edition after pediatric traumatic brain injury. J Int Neuropsychol Soc 14(4), 651-655.</w:t>
      </w:r>
    </w:p>
    <w:p w:rsidR="00060A3F" w:rsidRPr="00391939" w:rsidRDefault="00060A3F" w:rsidP="00060A3F">
      <w:pPr>
        <w:rPr>
          <w:rFonts w:cs="Calibri"/>
        </w:rPr>
      </w:pPr>
      <w:r w:rsidRPr="00391939">
        <w:rPr>
          <w:rFonts w:cs="Calibri"/>
        </w:rPr>
        <w:t>Yeates, K., and Donders, J. (2005). The WISC-IV and neuropsychological assessment. In A. Prifitera, D. Saklofske &amp; L. Weiss (Eds.), WISC-IV clinical use and interpretation: Scientist-practitioner perspectives. New York: Elsevier Academic Press.</w:t>
      </w:r>
    </w:p>
    <w:p w:rsidR="00060A3F" w:rsidRPr="00391939" w:rsidRDefault="00060A3F" w:rsidP="00060A3F">
      <w:pPr>
        <w:rPr>
          <w:rFonts w:cs="Calibri"/>
        </w:rPr>
      </w:pPr>
      <w:r w:rsidRPr="00391939">
        <w:rPr>
          <w:rFonts w:cs="Calibri"/>
        </w:rPr>
        <w:t>Tremont, G., Mittenberg, W., and Miller, L. (1999). Acute intellectual effects of pediatric head trauma. Child Neuropsychol 5, 104-114.</w:t>
      </w:r>
    </w:p>
    <w:p w:rsidR="00060A3F" w:rsidRPr="00391939" w:rsidRDefault="00060A3F" w:rsidP="00060A3F">
      <w:pPr>
        <w:rPr>
          <w:rFonts w:cs="Calibri"/>
        </w:rPr>
      </w:pPr>
      <w:r w:rsidRPr="00391939">
        <w:rPr>
          <w:rFonts w:cs="Calibri"/>
        </w:rPr>
        <w:t>Wechsler, D. (2004). WISC-IV Spanish technical and interpretive manual. Pearson Assessments: San Antonio, TX.</w:t>
      </w:r>
    </w:p>
    <w:p w:rsidR="0085772F" w:rsidRPr="00791660" w:rsidRDefault="0085772F" w:rsidP="006C4F95">
      <w:pPr>
        <w:pStyle w:val="Heading2"/>
      </w:pPr>
      <w:r w:rsidRPr="00391939">
        <w:br w:type="page"/>
      </w:r>
      <w:r w:rsidRPr="00791660">
        <w:lastRenderedPageBreak/>
        <w:t>Word Reading Subtest of the Wide Range Achievement Test (WRAT-4)</w:t>
      </w:r>
    </w:p>
    <w:p w:rsidR="009D6578" w:rsidRPr="00791660" w:rsidRDefault="009D6578" w:rsidP="0019665E">
      <w:pPr>
        <w:pStyle w:val="Heading3"/>
      </w:pPr>
      <w:r w:rsidRPr="00791660">
        <w:t>DESCRIPTION</w:t>
      </w:r>
    </w:p>
    <w:p w:rsidR="009D6578" w:rsidRPr="00791660" w:rsidRDefault="009D6578" w:rsidP="009D6578">
      <w:pPr>
        <w:rPr>
          <w:rFonts w:cs="Calibri"/>
          <w:b/>
        </w:rPr>
      </w:pPr>
      <w:r w:rsidRPr="00791660">
        <w:rPr>
          <w:rFonts w:cs="Calibri"/>
        </w:rPr>
        <w:t>Two sections: Letter Reading (15 items) and Word Reading (55 items).</w:t>
      </w:r>
    </w:p>
    <w:p w:rsidR="009D6578" w:rsidRPr="00791660" w:rsidRDefault="009D6578" w:rsidP="0019665E">
      <w:pPr>
        <w:pStyle w:val="Heading3"/>
      </w:pPr>
      <w:r w:rsidRPr="00791660">
        <w:t xml:space="preserve">PERMISSIBLE VALUES </w:t>
      </w:r>
    </w:p>
    <w:p w:rsidR="009D6578" w:rsidRPr="00791660" w:rsidRDefault="0019665E" w:rsidP="009D6578">
      <w:pPr>
        <w:spacing w:after="120"/>
        <w:rPr>
          <w:rFonts w:cs="Calibri"/>
          <w:b/>
        </w:rPr>
      </w:pPr>
      <w:r>
        <w:rPr>
          <w:rFonts w:cs="Calibri"/>
        </w:rPr>
        <w:t xml:space="preserve">Raw score: 0-70 </w:t>
      </w:r>
      <w:r w:rsidR="009D6578" w:rsidRPr="00791660">
        <w:rPr>
          <w:rFonts w:cs="Calibri"/>
        </w:rPr>
        <w:t>Standard Score: 55-145</w:t>
      </w:r>
    </w:p>
    <w:p w:rsidR="009D6578" w:rsidRPr="00791660" w:rsidRDefault="009D6578" w:rsidP="0019665E">
      <w:pPr>
        <w:pStyle w:val="Heading3"/>
      </w:pPr>
      <w:r w:rsidRPr="00791660">
        <w:t xml:space="preserve">PROCEDURES </w:t>
      </w:r>
    </w:p>
    <w:p w:rsidR="009D6578" w:rsidRPr="00791660" w:rsidRDefault="009D6578" w:rsidP="009D6578">
      <w:pPr>
        <w:spacing w:after="120"/>
        <w:rPr>
          <w:rFonts w:cs="Calibri"/>
          <w:b/>
        </w:rPr>
      </w:pPr>
      <w:r w:rsidRPr="00791660">
        <w:rPr>
          <w:rFonts w:cs="Calibri"/>
        </w:rPr>
        <w:t>Material is read by subject. Requires minimal training. Administration time is 10 minutes.</w:t>
      </w:r>
    </w:p>
    <w:p w:rsidR="009D6578" w:rsidRPr="00791660" w:rsidRDefault="009D6578" w:rsidP="0019665E">
      <w:pPr>
        <w:pStyle w:val="Heading3"/>
      </w:pPr>
      <w:r w:rsidRPr="00791660">
        <w:t>COMMENTS</w:t>
      </w:r>
    </w:p>
    <w:p w:rsidR="009D6578" w:rsidRPr="00791660" w:rsidRDefault="009D6578" w:rsidP="009D6578">
      <w:pPr>
        <w:spacing w:after="120"/>
        <w:rPr>
          <w:rFonts w:cs="Calibri"/>
        </w:rPr>
      </w:pPr>
      <w:r w:rsidRPr="00791660">
        <w:rPr>
          <w:rFonts w:cs="Calibri"/>
        </w:rPr>
        <w:t>Ages 5-95</w:t>
      </w:r>
    </w:p>
    <w:p w:rsidR="009D6578" w:rsidRPr="00791660" w:rsidRDefault="009D6578" w:rsidP="0019665E">
      <w:pPr>
        <w:pStyle w:val="Heading3"/>
      </w:pPr>
      <w:r w:rsidRPr="00791660">
        <w:t>RATIONALE</w:t>
      </w:r>
    </w:p>
    <w:p w:rsidR="009D6578" w:rsidRPr="00791660" w:rsidRDefault="009D6578" w:rsidP="009D6578">
      <w:pPr>
        <w:rPr>
          <w:rFonts w:cs="Calibri"/>
          <w:b/>
        </w:rPr>
      </w:pPr>
      <w:r w:rsidRPr="00791660">
        <w:rPr>
          <w:rFonts w:cs="Calibri"/>
        </w:rPr>
        <w:t>Reading recognition has been identified as a brief, but effective, measurement of academic skills and intelligence that is not impacted by TBI in most cases</w:t>
      </w:r>
      <w:r w:rsidRPr="00791660">
        <w:rPr>
          <w:rFonts w:cs="Calibri"/>
          <w:b/>
        </w:rPr>
        <w:t xml:space="preserve"> </w:t>
      </w:r>
    </w:p>
    <w:p w:rsidR="009D6578" w:rsidRPr="00791660" w:rsidRDefault="009D6578" w:rsidP="0019665E">
      <w:pPr>
        <w:pStyle w:val="Heading3"/>
      </w:pPr>
      <w:r w:rsidRPr="00791660">
        <w:t>REFERENCES</w:t>
      </w:r>
    </w:p>
    <w:p w:rsidR="00AC68C0" w:rsidRPr="00791660" w:rsidRDefault="00AC68C0" w:rsidP="00AC68C0">
      <w:pPr>
        <w:rPr>
          <w:rFonts w:cs="Calibri"/>
        </w:rPr>
      </w:pPr>
      <w:r w:rsidRPr="00791660">
        <w:rPr>
          <w:rFonts w:cs="Calibri"/>
        </w:rPr>
        <w:t>Wilkinson, G.S., Robertson, G.J. (2006) Wide Range Achievement Test-4 Professional Manual.  Lutz, FL: Psychological Assessment Resources</w:t>
      </w:r>
    </w:p>
    <w:sectPr w:rsidR="00AC68C0" w:rsidRPr="00791660" w:rsidSect="00B50270">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54D0" w:rsidRDefault="00AD54D0" w:rsidP="003256BA">
      <w:pPr>
        <w:spacing w:after="0" w:line="240" w:lineRule="auto"/>
      </w:pPr>
      <w:r>
        <w:separator/>
      </w:r>
    </w:p>
  </w:endnote>
  <w:endnote w:type="continuationSeparator" w:id="0">
    <w:p w:rsidR="00AD54D0" w:rsidRDefault="00AD54D0" w:rsidP="003256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54D0" w:rsidRDefault="002D0525" w:rsidP="002D0525">
    <w:pPr>
      <w:pStyle w:val="Footer"/>
      <w:tabs>
        <w:tab w:val="clear" w:pos="4680"/>
      </w:tabs>
      <w:jc w:val="center"/>
    </w:pPr>
    <w:r>
      <w:t>TBI CDE Version 2.0</w:t>
    </w:r>
    <w:r>
      <w:tab/>
    </w:r>
    <w:r w:rsidR="00AD54D0">
      <w:fldChar w:fldCharType="begin"/>
    </w:r>
    <w:r w:rsidR="00AD54D0">
      <w:instrText xml:space="preserve"> PAGE   \* MERGEFORMAT </w:instrText>
    </w:r>
    <w:r w:rsidR="00AD54D0">
      <w:fldChar w:fldCharType="separate"/>
    </w:r>
    <w:r>
      <w:rPr>
        <w:noProof/>
      </w:rPr>
      <w:t>1</w:t>
    </w:r>
    <w:r w:rsidR="00AD54D0">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54D0" w:rsidRDefault="00AD54D0" w:rsidP="003256BA">
      <w:pPr>
        <w:spacing w:after="0" w:line="240" w:lineRule="auto"/>
      </w:pPr>
      <w:r>
        <w:separator/>
      </w:r>
    </w:p>
  </w:footnote>
  <w:footnote w:type="continuationSeparator" w:id="0">
    <w:p w:rsidR="00AD54D0" w:rsidRDefault="00AD54D0" w:rsidP="003256B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0525" w:rsidRPr="002D0525" w:rsidRDefault="002D0525" w:rsidP="002D0525">
    <w:pPr>
      <w:pStyle w:val="Heading1"/>
    </w:pPr>
    <w:r w:rsidRPr="002D0525">
      <w:t>Traumatic Brain Injury (TBI) Common Data Element (CDE)</w:t>
    </w:r>
  </w:p>
  <w:p w:rsidR="002D0525" w:rsidRPr="002D0525" w:rsidRDefault="002D0525" w:rsidP="002D0525">
    <w:pPr>
      <w:pStyle w:val="Heading1"/>
    </w:pPr>
    <w:r w:rsidRPr="002D0525">
      <w:t>Outcome Measure Recommendations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907DA4"/>
    <w:multiLevelType w:val="multilevel"/>
    <w:tmpl w:val="BB9852B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6905A35"/>
    <w:multiLevelType w:val="hybridMultilevel"/>
    <w:tmpl w:val="3A4026B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914476"/>
    <w:multiLevelType w:val="hybridMultilevel"/>
    <w:tmpl w:val="33629B6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1771130"/>
    <w:multiLevelType w:val="hybridMultilevel"/>
    <w:tmpl w:val="B5ECD33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3A47F50"/>
    <w:multiLevelType w:val="hybridMultilevel"/>
    <w:tmpl w:val="CFC8C4F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B8F43A2"/>
    <w:multiLevelType w:val="hybridMultilevel"/>
    <w:tmpl w:val="F052321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C8E72F7"/>
    <w:multiLevelType w:val="hybridMultilevel"/>
    <w:tmpl w:val="E55A5C7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EEE14FD"/>
    <w:multiLevelType w:val="hybridMultilevel"/>
    <w:tmpl w:val="5A249D4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3AA3F97"/>
    <w:multiLevelType w:val="hybridMultilevel"/>
    <w:tmpl w:val="5308F2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7DA570C"/>
    <w:multiLevelType w:val="hybridMultilevel"/>
    <w:tmpl w:val="3376BF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8420597"/>
    <w:multiLevelType w:val="hybridMultilevel"/>
    <w:tmpl w:val="9D789D4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A61673F"/>
    <w:multiLevelType w:val="hybridMultilevel"/>
    <w:tmpl w:val="5A48E4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A825C5A"/>
    <w:multiLevelType w:val="hybridMultilevel"/>
    <w:tmpl w:val="4404D0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24F18D2"/>
    <w:multiLevelType w:val="multilevel"/>
    <w:tmpl w:val="AB0A0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4802AC9"/>
    <w:multiLevelType w:val="hybridMultilevel"/>
    <w:tmpl w:val="5308F2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CC02253"/>
    <w:multiLevelType w:val="hybridMultilevel"/>
    <w:tmpl w:val="9700697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0396B9A"/>
    <w:multiLevelType w:val="hybridMultilevel"/>
    <w:tmpl w:val="898C56E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1EA5272"/>
    <w:multiLevelType w:val="hybridMultilevel"/>
    <w:tmpl w:val="6A2C754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7010DBF"/>
    <w:multiLevelType w:val="hybridMultilevel"/>
    <w:tmpl w:val="1B167AF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D747C42"/>
    <w:multiLevelType w:val="hybridMultilevel"/>
    <w:tmpl w:val="7610AB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0561820"/>
    <w:multiLevelType w:val="hybridMultilevel"/>
    <w:tmpl w:val="5308F2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27205FB"/>
    <w:multiLevelType w:val="hybridMultilevel"/>
    <w:tmpl w:val="AA7CE9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94541D6"/>
    <w:multiLevelType w:val="hybridMultilevel"/>
    <w:tmpl w:val="5308F2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397341B"/>
    <w:multiLevelType w:val="hybridMultilevel"/>
    <w:tmpl w:val="C596B98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59D6B2B"/>
    <w:multiLevelType w:val="multilevel"/>
    <w:tmpl w:val="1BC6F6A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75B85BE9"/>
    <w:multiLevelType w:val="hybridMultilevel"/>
    <w:tmpl w:val="73CA95C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0"/>
  </w:num>
  <w:num w:numId="3">
    <w:abstractNumId w:val="24"/>
  </w:num>
  <w:num w:numId="4">
    <w:abstractNumId w:val="9"/>
  </w:num>
  <w:num w:numId="5">
    <w:abstractNumId w:val="22"/>
  </w:num>
  <w:num w:numId="6">
    <w:abstractNumId w:val="17"/>
  </w:num>
  <w:num w:numId="7">
    <w:abstractNumId w:val="20"/>
  </w:num>
  <w:num w:numId="8">
    <w:abstractNumId w:val="8"/>
  </w:num>
  <w:num w:numId="9">
    <w:abstractNumId w:val="14"/>
  </w:num>
  <w:num w:numId="10">
    <w:abstractNumId w:val="21"/>
  </w:num>
  <w:num w:numId="11">
    <w:abstractNumId w:val="11"/>
  </w:num>
  <w:num w:numId="12">
    <w:abstractNumId w:val="1"/>
  </w:num>
  <w:num w:numId="13">
    <w:abstractNumId w:val="3"/>
  </w:num>
  <w:num w:numId="14">
    <w:abstractNumId w:val="12"/>
  </w:num>
  <w:num w:numId="15">
    <w:abstractNumId w:val="18"/>
  </w:num>
  <w:num w:numId="16">
    <w:abstractNumId w:val="10"/>
  </w:num>
  <w:num w:numId="17">
    <w:abstractNumId w:val="23"/>
  </w:num>
  <w:num w:numId="18">
    <w:abstractNumId w:val="25"/>
  </w:num>
  <w:num w:numId="19">
    <w:abstractNumId w:val="15"/>
  </w:num>
  <w:num w:numId="20">
    <w:abstractNumId w:val="2"/>
  </w:num>
  <w:num w:numId="21">
    <w:abstractNumId w:val="7"/>
  </w:num>
  <w:num w:numId="22">
    <w:abstractNumId w:val="4"/>
  </w:num>
  <w:num w:numId="23">
    <w:abstractNumId w:val="5"/>
  </w:num>
  <w:num w:numId="24">
    <w:abstractNumId w:val="6"/>
  </w:num>
  <w:num w:numId="25">
    <w:abstractNumId w:val="19"/>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942DF"/>
    <w:rsid w:val="00005423"/>
    <w:rsid w:val="000166F1"/>
    <w:rsid w:val="00036648"/>
    <w:rsid w:val="00042F9C"/>
    <w:rsid w:val="000600E5"/>
    <w:rsid w:val="00060A3F"/>
    <w:rsid w:val="00067485"/>
    <w:rsid w:val="000923C6"/>
    <w:rsid w:val="000C103F"/>
    <w:rsid w:val="000C677D"/>
    <w:rsid w:val="000E4D62"/>
    <w:rsid w:val="00101543"/>
    <w:rsid w:val="00105870"/>
    <w:rsid w:val="00133519"/>
    <w:rsid w:val="00137957"/>
    <w:rsid w:val="00150BFC"/>
    <w:rsid w:val="00151EE1"/>
    <w:rsid w:val="00186B84"/>
    <w:rsid w:val="0019665E"/>
    <w:rsid w:val="001A1472"/>
    <w:rsid w:val="001B190F"/>
    <w:rsid w:val="001C3A62"/>
    <w:rsid w:val="001D4F0B"/>
    <w:rsid w:val="00201DB9"/>
    <w:rsid w:val="0022540E"/>
    <w:rsid w:val="0023143B"/>
    <w:rsid w:val="00257409"/>
    <w:rsid w:val="0026399F"/>
    <w:rsid w:val="0026667A"/>
    <w:rsid w:val="00272AF0"/>
    <w:rsid w:val="002772D0"/>
    <w:rsid w:val="00283B0C"/>
    <w:rsid w:val="002A76D8"/>
    <w:rsid w:val="002B2DCC"/>
    <w:rsid w:val="002D0525"/>
    <w:rsid w:val="002E0240"/>
    <w:rsid w:val="002F045A"/>
    <w:rsid w:val="002F4E87"/>
    <w:rsid w:val="003017B7"/>
    <w:rsid w:val="003256BA"/>
    <w:rsid w:val="00327236"/>
    <w:rsid w:val="00331FE7"/>
    <w:rsid w:val="00362150"/>
    <w:rsid w:val="003632F5"/>
    <w:rsid w:val="00373541"/>
    <w:rsid w:val="0038142D"/>
    <w:rsid w:val="00390AFC"/>
    <w:rsid w:val="00391939"/>
    <w:rsid w:val="00397664"/>
    <w:rsid w:val="003A10E2"/>
    <w:rsid w:val="003A684C"/>
    <w:rsid w:val="003A71F0"/>
    <w:rsid w:val="003C1198"/>
    <w:rsid w:val="003C5959"/>
    <w:rsid w:val="003C625F"/>
    <w:rsid w:val="003D1229"/>
    <w:rsid w:val="003D1E85"/>
    <w:rsid w:val="003F48E0"/>
    <w:rsid w:val="00407ED8"/>
    <w:rsid w:val="00412771"/>
    <w:rsid w:val="00416C28"/>
    <w:rsid w:val="00425DCE"/>
    <w:rsid w:val="00426588"/>
    <w:rsid w:val="00431050"/>
    <w:rsid w:val="00436F2C"/>
    <w:rsid w:val="00440B65"/>
    <w:rsid w:val="00446D34"/>
    <w:rsid w:val="00451F71"/>
    <w:rsid w:val="00464BBB"/>
    <w:rsid w:val="00472EB4"/>
    <w:rsid w:val="004A1A0B"/>
    <w:rsid w:val="004A6DFA"/>
    <w:rsid w:val="004A7991"/>
    <w:rsid w:val="004B5494"/>
    <w:rsid w:val="004B766F"/>
    <w:rsid w:val="004B7CEF"/>
    <w:rsid w:val="004B7D33"/>
    <w:rsid w:val="004E73A8"/>
    <w:rsid w:val="00552A1A"/>
    <w:rsid w:val="00564FF8"/>
    <w:rsid w:val="0057055B"/>
    <w:rsid w:val="00571C71"/>
    <w:rsid w:val="00575537"/>
    <w:rsid w:val="00577465"/>
    <w:rsid w:val="005779AF"/>
    <w:rsid w:val="00581FF8"/>
    <w:rsid w:val="00595C38"/>
    <w:rsid w:val="00597B14"/>
    <w:rsid w:val="005A7A94"/>
    <w:rsid w:val="005D1371"/>
    <w:rsid w:val="005D3954"/>
    <w:rsid w:val="005E172F"/>
    <w:rsid w:val="005F2C7C"/>
    <w:rsid w:val="005F4802"/>
    <w:rsid w:val="0061104A"/>
    <w:rsid w:val="006126F3"/>
    <w:rsid w:val="00630F26"/>
    <w:rsid w:val="00641332"/>
    <w:rsid w:val="0064276E"/>
    <w:rsid w:val="00656917"/>
    <w:rsid w:val="006A6ED8"/>
    <w:rsid w:val="006B58A1"/>
    <w:rsid w:val="006B5C46"/>
    <w:rsid w:val="006C4F95"/>
    <w:rsid w:val="006D24E0"/>
    <w:rsid w:val="006F24CB"/>
    <w:rsid w:val="006F327D"/>
    <w:rsid w:val="006F58D1"/>
    <w:rsid w:val="00715490"/>
    <w:rsid w:val="00715E1B"/>
    <w:rsid w:val="0072365A"/>
    <w:rsid w:val="00726888"/>
    <w:rsid w:val="0073451E"/>
    <w:rsid w:val="00747374"/>
    <w:rsid w:val="00747B7F"/>
    <w:rsid w:val="00757EB8"/>
    <w:rsid w:val="00761F5E"/>
    <w:rsid w:val="00791660"/>
    <w:rsid w:val="0079543B"/>
    <w:rsid w:val="007A1862"/>
    <w:rsid w:val="007A5EB3"/>
    <w:rsid w:val="007A76D2"/>
    <w:rsid w:val="007C09BE"/>
    <w:rsid w:val="007C72C1"/>
    <w:rsid w:val="007F7EC4"/>
    <w:rsid w:val="008122AB"/>
    <w:rsid w:val="0082143F"/>
    <w:rsid w:val="0083461E"/>
    <w:rsid w:val="00837790"/>
    <w:rsid w:val="008472BC"/>
    <w:rsid w:val="008517B1"/>
    <w:rsid w:val="0085772F"/>
    <w:rsid w:val="00865F08"/>
    <w:rsid w:val="008711D5"/>
    <w:rsid w:val="00872036"/>
    <w:rsid w:val="00892BFF"/>
    <w:rsid w:val="0089414D"/>
    <w:rsid w:val="00896C1C"/>
    <w:rsid w:val="00897A76"/>
    <w:rsid w:val="008A0FB3"/>
    <w:rsid w:val="008A2CFB"/>
    <w:rsid w:val="008C10F5"/>
    <w:rsid w:val="008D53AA"/>
    <w:rsid w:val="008E024A"/>
    <w:rsid w:val="008F3218"/>
    <w:rsid w:val="008F563C"/>
    <w:rsid w:val="009004A3"/>
    <w:rsid w:val="00915661"/>
    <w:rsid w:val="0095430C"/>
    <w:rsid w:val="00957C3D"/>
    <w:rsid w:val="00972E64"/>
    <w:rsid w:val="00986D38"/>
    <w:rsid w:val="009877E3"/>
    <w:rsid w:val="00994F6F"/>
    <w:rsid w:val="009B4015"/>
    <w:rsid w:val="009C429E"/>
    <w:rsid w:val="009D6578"/>
    <w:rsid w:val="009E2D7C"/>
    <w:rsid w:val="009E4116"/>
    <w:rsid w:val="009F3D95"/>
    <w:rsid w:val="00A01395"/>
    <w:rsid w:val="00A113F5"/>
    <w:rsid w:val="00A342B0"/>
    <w:rsid w:val="00A354C6"/>
    <w:rsid w:val="00A4123B"/>
    <w:rsid w:val="00A43D8E"/>
    <w:rsid w:val="00A50916"/>
    <w:rsid w:val="00A668FE"/>
    <w:rsid w:val="00A771A0"/>
    <w:rsid w:val="00A77ED9"/>
    <w:rsid w:val="00A86E55"/>
    <w:rsid w:val="00A91A68"/>
    <w:rsid w:val="00A942DF"/>
    <w:rsid w:val="00AA0A54"/>
    <w:rsid w:val="00AC68C0"/>
    <w:rsid w:val="00AD42B7"/>
    <w:rsid w:val="00AD54D0"/>
    <w:rsid w:val="00AE19BF"/>
    <w:rsid w:val="00B064E0"/>
    <w:rsid w:val="00B146A6"/>
    <w:rsid w:val="00B33EFA"/>
    <w:rsid w:val="00B34FCC"/>
    <w:rsid w:val="00B35A36"/>
    <w:rsid w:val="00B37CE3"/>
    <w:rsid w:val="00B50270"/>
    <w:rsid w:val="00B55883"/>
    <w:rsid w:val="00B7123A"/>
    <w:rsid w:val="00B71CE2"/>
    <w:rsid w:val="00B74F2C"/>
    <w:rsid w:val="00B808CD"/>
    <w:rsid w:val="00B840F4"/>
    <w:rsid w:val="00B92FE1"/>
    <w:rsid w:val="00B9418D"/>
    <w:rsid w:val="00BA177D"/>
    <w:rsid w:val="00BB167B"/>
    <w:rsid w:val="00BD7D4C"/>
    <w:rsid w:val="00BE295B"/>
    <w:rsid w:val="00C02CD4"/>
    <w:rsid w:val="00C1442F"/>
    <w:rsid w:val="00C33664"/>
    <w:rsid w:val="00C40402"/>
    <w:rsid w:val="00C638D1"/>
    <w:rsid w:val="00C657EB"/>
    <w:rsid w:val="00C6740D"/>
    <w:rsid w:val="00C7233D"/>
    <w:rsid w:val="00C80913"/>
    <w:rsid w:val="00C83AC8"/>
    <w:rsid w:val="00C902D7"/>
    <w:rsid w:val="00C926B3"/>
    <w:rsid w:val="00CD3973"/>
    <w:rsid w:val="00CD5942"/>
    <w:rsid w:val="00CE6A31"/>
    <w:rsid w:val="00CF3C01"/>
    <w:rsid w:val="00D44C4D"/>
    <w:rsid w:val="00D468A6"/>
    <w:rsid w:val="00D61192"/>
    <w:rsid w:val="00D84A13"/>
    <w:rsid w:val="00D942BF"/>
    <w:rsid w:val="00DD6C49"/>
    <w:rsid w:val="00E0090D"/>
    <w:rsid w:val="00E02FE7"/>
    <w:rsid w:val="00E20EB1"/>
    <w:rsid w:val="00E41FF2"/>
    <w:rsid w:val="00E51D1C"/>
    <w:rsid w:val="00E53B4C"/>
    <w:rsid w:val="00E712E2"/>
    <w:rsid w:val="00E85E53"/>
    <w:rsid w:val="00EA2419"/>
    <w:rsid w:val="00EB5061"/>
    <w:rsid w:val="00EC6ED7"/>
    <w:rsid w:val="00EF4835"/>
    <w:rsid w:val="00EF6CD6"/>
    <w:rsid w:val="00F173F8"/>
    <w:rsid w:val="00F17B5E"/>
    <w:rsid w:val="00F22CE7"/>
    <w:rsid w:val="00F40110"/>
    <w:rsid w:val="00F407D7"/>
    <w:rsid w:val="00F42BD3"/>
    <w:rsid w:val="00F517A6"/>
    <w:rsid w:val="00F577C4"/>
    <w:rsid w:val="00F858AE"/>
    <w:rsid w:val="00FA6A1A"/>
    <w:rsid w:val="00FB29AD"/>
    <w:rsid w:val="00FC3DFE"/>
    <w:rsid w:val="00FD2B2F"/>
    <w:rsid w:val="00FD6879"/>
    <w:rsid w:val="00FE1FF0"/>
    <w:rsid w:val="00FE5182"/>
    <w:rsid w:val="00FF2F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C9F395-1353-4423-81E6-ABF5CCDF7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0270"/>
    <w:pPr>
      <w:spacing w:after="200" w:line="276" w:lineRule="auto"/>
    </w:pPr>
    <w:rPr>
      <w:sz w:val="22"/>
      <w:szCs w:val="22"/>
    </w:rPr>
  </w:style>
  <w:style w:type="paragraph" w:styleId="Heading1">
    <w:name w:val="heading 1"/>
    <w:basedOn w:val="Normal"/>
    <w:next w:val="Normal"/>
    <w:link w:val="Heading1Char"/>
    <w:uiPriority w:val="9"/>
    <w:qFormat/>
    <w:rsid w:val="002D0525"/>
    <w:pPr>
      <w:spacing w:after="0"/>
      <w:jc w:val="center"/>
      <w:outlineLvl w:val="0"/>
    </w:pPr>
    <w:rPr>
      <w:rFonts w:cs="Calibri"/>
      <w:b/>
      <w:sz w:val="28"/>
      <w:szCs w:val="28"/>
    </w:rPr>
  </w:style>
  <w:style w:type="paragraph" w:styleId="Heading2">
    <w:name w:val="heading 2"/>
    <w:basedOn w:val="Normal"/>
    <w:next w:val="Normal"/>
    <w:link w:val="Heading2Char"/>
    <w:uiPriority w:val="9"/>
    <w:unhideWhenUsed/>
    <w:qFormat/>
    <w:rsid w:val="006C4F95"/>
    <w:pPr>
      <w:outlineLvl w:val="1"/>
    </w:pPr>
    <w:rPr>
      <w:rFonts w:cs="Calibri"/>
      <w:b/>
      <w:sz w:val="24"/>
      <w:szCs w:val="24"/>
    </w:rPr>
  </w:style>
  <w:style w:type="paragraph" w:styleId="Heading3">
    <w:name w:val="heading 3"/>
    <w:basedOn w:val="Normal"/>
    <w:next w:val="Default"/>
    <w:link w:val="Heading3Char"/>
    <w:uiPriority w:val="99"/>
    <w:qFormat/>
    <w:rsid w:val="00C7233D"/>
    <w:pPr>
      <w:outlineLvl w:val="2"/>
    </w:pPr>
    <w:rPr>
      <w:rFonts w:cs="Calibri"/>
      <w:b/>
    </w:rPr>
  </w:style>
  <w:style w:type="paragraph" w:styleId="Heading4">
    <w:name w:val="heading 4"/>
    <w:basedOn w:val="Normal"/>
    <w:next w:val="Normal"/>
    <w:link w:val="Heading4Char"/>
    <w:uiPriority w:val="9"/>
    <w:semiHidden/>
    <w:unhideWhenUsed/>
    <w:qFormat/>
    <w:rsid w:val="0022540E"/>
    <w:pPr>
      <w:keepNext/>
      <w:spacing w:before="240" w:after="60"/>
      <w:outlineLvl w:val="3"/>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jrnl">
    <w:name w:val="jrnl"/>
    <w:basedOn w:val="DefaultParagraphFont"/>
    <w:rsid w:val="0073451E"/>
  </w:style>
  <w:style w:type="paragraph" w:customStyle="1" w:styleId="Default">
    <w:name w:val="Default"/>
    <w:rsid w:val="002B2DCC"/>
    <w:pPr>
      <w:autoSpaceDE w:val="0"/>
      <w:autoSpaceDN w:val="0"/>
      <w:adjustRightInd w:val="0"/>
    </w:pPr>
    <w:rPr>
      <w:rFonts w:ascii="Times New Roman" w:hAnsi="Times New Roman"/>
      <w:color w:val="000000"/>
      <w:sz w:val="24"/>
      <w:szCs w:val="24"/>
    </w:rPr>
  </w:style>
  <w:style w:type="character" w:customStyle="1" w:styleId="Heading3Char">
    <w:name w:val="Heading 3 Char"/>
    <w:basedOn w:val="DefaultParagraphFont"/>
    <w:link w:val="Heading3"/>
    <w:uiPriority w:val="99"/>
    <w:rsid w:val="00C7233D"/>
    <w:rPr>
      <w:rFonts w:cs="Calibri"/>
      <w:b/>
      <w:sz w:val="22"/>
      <w:szCs w:val="22"/>
    </w:rPr>
  </w:style>
  <w:style w:type="character" w:styleId="Strong">
    <w:name w:val="Strong"/>
    <w:basedOn w:val="DefaultParagraphFont"/>
    <w:uiPriority w:val="22"/>
    <w:qFormat/>
    <w:rsid w:val="002B2DCC"/>
    <w:rPr>
      <w:b/>
      <w:bCs/>
    </w:rPr>
  </w:style>
  <w:style w:type="character" w:styleId="Hyperlink">
    <w:name w:val="Hyperlink"/>
    <w:basedOn w:val="DefaultParagraphFont"/>
    <w:uiPriority w:val="99"/>
    <w:unhideWhenUsed/>
    <w:rsid w:val="00A668FE"/>
    <w:rPr>
      <w:strike w:val="0"/>
      <w:dstrike w:val="0"/>
      <w:color w:val="0000FF"/>
      <w:u w:val="single"/>
      <w:effect w:val="none"/>
    </w:rPr>
  </w:style>
  <w:style w:type="character" w:customStyle="1" w:styleId="ncitalic1">
    <w:name w:val="ncitalic1"/>
    <w:basedOn w:val="DefaultParagraphFont"/>
    <w:rsid w:val="00A668FE"/>
    <w:rPr>
      <w:i/>
      <w:iCs/>
      <w:color w:val="000000"/>
    </w:rPr>
  </w:style>
  <w:style w:type="character" w:customStyle="1" w:styleId="meta">
    <w:name w:val="meta"/>
    <w:basedOn w:val="DefaultParagraphFont"/>
    <w:rsid w:val="00AD42B7"/>
  </w:style>
  <w:style w:type="character" w:styleId="FollowedHyperlink">
    <w:name w:val="FollowedHyperlink"/>
    <w:basedOn w:val="DefaultParagraphFont"/>
    <w:uiPriority w:val="99"/>
    <w:semiHidden/>
    <w:unhideWhenUsed/>
    <w:rsid w:val="006F58D1"/>
    <w:rPr>
      <w:color w:val="800080"/>
      <w:u w:val="single"/>
    </w:rPr>
  </w:style>
  <w:style w:type="character" w:customStyle="1" w:styleId="dnnalignleft">
    <w:name w:val="dnnalignleft"/>
    <w:basedOn w:val="DefaultParagraphFont"/>
    <w:rsid w:val="006F58D1"/>
  </w:style>
  <w:style w:type="character" w:customStyle="1" w:styleId="Heading4Char">
    <w:name w:val="Heading 4 Char"/>
    <w:basedOn w:val="DefaultParagraphFont"/>
    <w:link w:val="Heading4"/>
    <w:uiPriority w:val="9"/>
    <w:semiHidden/>
    <w:rsid w:val="0022540E"/>
    <w:rPr>
      <w:rFonts w:ascii="Calibri" w:eastAsia="Times New Roman" w:hAnsi="Calibri" w:cs="Times New Roman"/>
      <w:b/>
      <w:bCs/>
      <w:sz w:val="28"/>
      <w:szCs w:val="28"/>
    </w:rPr>
  </w:style>
  <w:style w:type="character" w:customStyle="1" w:styleId="ej-j-source">
    <w:name w:val="ej-j-source"/>
    <w:basedOn w:val="DefaultParagraphFont"/>
    <w:rsid w:val="0022540E"/>
  </w:style>
  <w:style w:type="paragraph" w:styleId="NormalWeb">
    <w:name w:val="Normal (Web)"/>
    <w:basedOn w:val="Normal"/>
    <w:uiPriority w:val="99"/>
    <w:semiHidden/>
    <w:unhideWhenUsed/>
    <w:rsid w:val="00331FE7"/>
    <w:pPr>
      <w:spacing w:before="100" w:beforeAutospacing="1" w:after="100" w:afterAutospacing="1" w:line="240" w:lineRule="auto"/>
    </w:pPr>
    <w:rPr>
      <w:rFonts w:ascii="Times New Roman" w:eastAsia="Times New Roman" w:hAnsi="Times New Roman"/>
      <w:sz w:val="24"/>
      <w:szCs w:val="24"/>
    </w:rPr>
  </w:style>
  <w:style w:type="character" w:customStyle="1" w:styleId="citedby">
    <w:name w:val="citedby_"/>
    <w:basedOn w:val="DefaultParagraphFont"/>
    <w:rsid w:val="00331FE7"/>
    <w:rPr>
      <w:sz w:val="24"/>
      <w:szCs w:val="24"/>
      <w:bdr w:val="none" w:sz="0" w:space="0" w:color="auto" w:frame="1"/>
      <w:vertAlign w:val="baseline"/>
    </w:rPr>
  </w:style>
  <w:style w:type="character" w:styleId="CommentReference">
    <w:name w:val="annotation reference"/>
    <w:basedOn w:val="DefaultParagraphFont"/>
    <w:uiPriority w:val="99"/>
    <w:semiHidden/>
    <w:unhideWhenUsed/>
    <w:rsid w:val="00D468A6"/>
    <w:rPr>
      <w:sz w:val="16"/>
      <w:szCs w:val="16"/>
    </w:rPr>
  </w:style>
  <w:style w:type="paragraph" w:styleId="CommentText">
    <w:name w:val="annotation text"/>
    <w:basedOn w:val="Normal"/>
    <w:link w:val="CommentTextChar"/>
    <w:uiPriority w:val="99"/>
    <w:semiHidden/>
    <w:unhideWhenUsed/>
    <w:rsid w:val="00D468A6"/>
    <w:rPr>
      <w:sz w:val="20"/>
      <w:szCs w:val="20"/>
    </w:rPr>
  </w:style>
  <w:style w:type="character" w:customStyle="1" w:styleId="CommentTextChar">
    <w:name w:val="Comment Text Char"/>
    <w:basedOn w:val="DefaultParagraphFont"/>
    <w:link w:val="CommentText"/>
    <w:uiPriority w:val="99"/>
    <w:semiHidden/>
    <w:rsid w:val="00D468A6"/>
  </w:style>
  <w:style w:type="paragraph" w:styleId="CommentSubject">
    <w:name w:val="annotation subject"/>
    <w:basedOn w:val="CommentText"/>
    <w:next w:val="CommentText"/>
    <w:link w:val="CommentSubjectChar"/>
    <w:uiPriority w:val="99"/>
    <w:semiHidden/>
    <w:unhideWhenUsed/>
    <w:rsid w:val="00D468A6"/>
    <w:rPr>
      <w:b/>
      <w:bCs/>
    </w:rPr>
  </w:style>
  <w:style w:type="character" w:customStyle="1" w:styleId="CommentSubjectChar">
    <w:name w:val="Comment Subject Char"/>
    <w:basedOn w:val="CommentTextChar"/>
    <w:link w:val="CommentSubject"/>
    <w:uiPriority w:val="99"/>
    <w:semiHidden/>
    <w:rsid w:val="00D468A6"/>
    <w:rPr>
      <w:b/>
      <w:bCs/>
    </w:rPr>
  </w:style>
  <w:style w:type="paragraph" w:styleId="BalloonText">
    <w:name w:val="Balloon Text"/>
    <w:basedOn w:val="Normal"/>
    <w:link w:val="BalloonTextChar"/>
    <w:uiPriority w:val="99"/>
    <w:semiHidden/>
    <w:unhideWhenUsed/>
    <w:rsid w:val="00D468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68A6"/>
    <w:rPr>
      <w:rFonts w:ascii="Tahoma" w:hAnsi="Tahoma" w:cs="Tahoma"/>
      <w:sz w:val="16"/>
      <w:szCs w:val="16"/>
    </w:rPr>
  </w:style>
  <w:style w:type="paragraph" w:styleId="Header">
    <w:name w:val="header"/>
    <w:basedOn w:val="Normal"/>
    <w:link w:val="HeaderChar"/>
    <w:uiPriority w:val="99"/>
    <w:unhideWhenUsed/>
    <w:rsid w:val="003256BA"/>
    <w:pPr>
      <w:tabs>
        <w:tab w:val="center" w:pos="4680"/>
        <w:tab w:val="right" w:pos="9360"/>
      </w:tabs>
    </w:pPr>
  </w:style>
  <w:style w:type="character" w:customStyle="1" w:styleId="HeaderChar">
    <w:name w:val="Header Char"/>
    <w:basedOn w:val="DefaultParagraphFont"/>
    <w:link w:val="Header"/>
    <w:uiPriority w:val="99"/>
    <w:rsid w:val="003256BA"/>
    <w:rPr>
      <w:sz w:val="22"/>
      <w:szCs w:val="22"/>
    </w:rPr>
  </w:style>
  <w:style w:type="paragraph" w:styleId="Footer">
    <w:name w:val="footer"/>
    <w:basedOn w:val="Normal"/>
    <w:link w:val="FooterChar"/>
    <w:uiPriority w:val="99"/>
    <w:unhideWhenUsed/>
    <w:rsid w:val="003256BA"/>
    <w:pPr>
      <w:tabs>
        <w:tab w:val="center" w:pos="4680"/>
        <w:tab w:val="right" w:pos="9360"/>
      </w:tabs>
    </w:pPr>
  </w:style>
  <w:style w:type="character" w:customStyle="1" w:styleId="FooterChar">
    <w:name w:val="Footer Char"/>
    <w:basedOn w:val="DefaultParagraphFont"/>
    <w:link w:val="Footer"/>
    <w:uiPriority w:val="99"/>
    <w:rsid w:val="003256BA"/>
    <w:rPr>
      <w:sz w:val="22"/>
      <w:szCs w:val="22"/>
    </w:rPr>
  </w:style>
  <w:style w:type="paragraph" w:styleId="ListParagraph">
    <w:name w:val="List Paragraph"/>
    <w:basedOn w:val="Normal"/>
    <w:uiPriority w:val="34"/>
    <w:qFormat/>
    <w:rsid w:val="00FD6879"/>
    <w:pPr>
      <w:ind w:left="720"/>
    </w:pPr>
  </w:style>
  <w:style w:type="character" w:customStyle="1" w:styleId="Heading2Char">
    <w:name w:val="Heading 2 Char"/>
    <w:basedOn w:val="DefaultParagraphFont"/>
    <w:link w:val="Heading2"/>
    <w:uiPriority w:val="9"/>
    <w:rsid w:val="006C4F95"/>
    <w:rPr>
      <w:rFonts w:cs="Calibri"/>
      <w:b/>
      <w:sz w:val="24"/>
      <w:szCs w:val="24"/>
    </w:rPr>
  </w:style>
  <w:style w:type="paragraph" w:styleId="Caption">
    <w:name w:val="caption"/>
    <w:basedOn w:val="Normal"/>
    <w:next w:val="Normal"/>
    <w:uiPriority w:val="35"/>
    <w:unhideWhenUsed/>
    <w:qFormat/>
    <w:rsid w:val="00AD54D0"/>
    <w:rPr>
      <w:b/>
      <w:bCs/>
      <w:sz w:val="20"/>
      <w:szCs w:val="20"/>
    </w:rPr>
  </w:style>
  <w:style w:type="character" w:customStyle="1" w:styleId="Heading1Char">
    <w:name w:val="Heading 1 Char"/>
    <w:basedOn w:val="DefaultParagraphFont"/>
    <w:link w:val="Heading1"/>
    <w:uiPriority w:val="9"/>
    <w:rsid w:val="002D0525"/>
    <w:rPr>
      <w:rFonts w:cs="Calibri"/>
      <w:b/>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329947">
      <w:bodyDiv w:val="1"/>
      <w:marLeft w:val="0"/>
      <w:marRight w:val="0"/>
      <w:marTop w:val="0"/>
      <w:marBottom w:val="0"/>
      <w:divBdr>
        <w:top w:val="none" w:sz="0" w:space="0" w:color="auto"/>
        <w:left w:val="none" w:sz="0" w:space="0" w:color="auto"/>
        <w:bottom w:val="none" w:sz="0" w:space="0" w:color="auto"/>
        <w:right w:val="none" w:sz="0" w:space="0" w:color="auto"/>
      </w:divBdr>
    </w:div>
    <w:div w:id="405961282">
      <w:bodyDiv w:val="1"/>
      <w:marLeft w:val="0"/>
      <w:marRight w:val="0"/>
      <w:marTop w:val="0"/>
      <w:marBottom w:val="0"/>
      <w:divBdr>
        <w:top w:val="none" w:sz="0" w:space="0" w:color="auto"/>
        <w:left w:val="none" w:sz="0" w:space="0" w:color="auto"/>
        <w:bottom w:val="none" w:sz="0" w:space="0" w:color="auto"/>
        <w:right w:val="none" w:sz="0" w:space="0" w:color="auto"/>
      </w:divBdr>
      <w:divsChild>
        <w:div w:id="230510732">
          <w:marLeft w:val="1636"/>
          <w:marRight w:val="0"/>
          <w:marTop w:val="0"/>
          <w:marBottom w:val="0"/>
          <w:divBdr>
            <w:top w:val="single" w:sz="24" w:space="0" w:color="6C9D30"/>
            <w:left w:val="single" w:sz="2" w:space="0" w:color="2E2E2E"/>
            <w:bottom w:val="single" w:sz="2" w:space="0" w:color="2E2E2E"/>
            <w:right w:val="single" w:sz="2" w:space="0" w:color="2E2E2E"/>
          </w:divBdr>
          <w:divsChild>
            <w:div w:id="1537691390">
              <w:marLeft w:val="0"/>
              <w:marRight w:val="0"/>
              <w:marTop w:val="19"/>
              <w:marBottom w:val="0"/>
              <w:divBdr>
                <w:top w:val="none" w:sz="0" w:space="0" w:color="auto"/>
                <w:left w:val="none" w:sz="0" w:space="0" w:color="auto"/>
                <w:bottom w:val="none" w:sz="0" w:space="0" w:color="auto"/>
                <w:right w:val="none" w:sz="0" w:space="0" w:color="auto"/>
              </w:divBdr>
              <w:divsChild>
                <w:div w:id="518353820">
                  <w:marLeft w:val="0"/>
                  <w:marRight w:val="0"/>
                  <w:marTop w:val="0"/>
                  <w:marBottom w:val="0"/>
                  <w:divBdr>
                    <w:top w:val="none" w:sz="0" w:space="0" w:color="auto"/>
                    <w:left w:val="none" w:sz="0" w:space="0" w:color="auto"/>
                    <w:bottom w:val="none" w:sz="0" w:space="0" w:color="auto"/>
                    <w:right w:val="none" w:sz="0" w:space="0" w:color="auto"/>
                  </w:divBdr>
                  <w:divsChild>
                    <w:div w:id="1243637494">
                      <w:marLeft w:val="0"/>
                      <w:marRight w:val="0"/>
                      <w:marTop w:val="0"/>
                      <w:marBottom w:val="0"/>
                      <w:divBdr>
                        <w:top w:val="none" w:sz="0" w:space="0" w:color="auto"/>
                        <w:left w:val="none" w:sz="0" w:space="0" w:color="auto"/>
                        <w:bottom w:val="none" w:sz="0" w:space="0" w:color="auto"/>
                        <w:right w:val="none" w:sz="0" w:space="0" w:color="auto"/>
                      </w:divBdr>
                      <w:divsChild>
                        <w:div w:id="2049798781">
                          <w:marLeft w:val="0"/>
                          <w:marRight w:val="0"/>
                          <w:marTop w:val="0"/>
                          <w:marBottom w:val="0"/>
                          <w:divBdr>
                            <w:top w:val="none" w:sz="0" w:space="0" w:color="auto"/>
                            <w:left w:val="none" w:sz="0" w:space="0" w:color="auto"/>
                            <w:bottom w:val="none" w:sz="0" w:space="0" w:color="auto"/>
                            <w:right w:val="none" w:sz="0" w:space="0" w:color="auto"/>
                          </w:divBdr>
                          <w:divsChild>
                            <w:div w:id="1333027465">
                              <w:marLeft w:val="0"/>
                              <w:marRight w:val="0"/>
                              <w:marTop w:val="0"/>
                              <w:marBottom w:val="0"/>
                              <w:divBdr>
                                <w:top w:val="none" w:sz="0" w:space="0" w:color="auto"/>
                                <w:left w:val="none" w:sz="0" w:space="0" w:color="auto"/>
                                <w:bottom w:val="none" w:sz="0" w:space="0" w:color="auto"/>
                                <w:right w:val="none" w:sz="0" w:space="0" w:color="auto"/>
                              </w:divBdr>
                            </w:div>
                            <w:div w:id="1380015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0611063">
      <w:bodyDiv w:val="1"/>
      <w:marLeft w:val="0"/>
      <w:marRight w:val="0"/>
      <w:marTop w:val="0"/>
      <w:marBottom w:val="0"/>
      <w:divBdr>
        <w:top w:val="none" w:sz="0" w:space="0" w:color="auto"/>
        <w:left w:val="none" w:sz="0" w:space="0" w:color="auto"/>
        <w:bottom w:val="none" w:sz="0" w:space="0" w:color="auto"/>
        <w:right w:val="none" w:sz="0" w:space="0" w:color="auto"/>
      </w:divBdr>
    </w:div>
    <w:div w:id="584345412">
      <w:bodyDiv w:val="1"/>
      <w:marLeft w:val="0"/>
      <w:marRight w:val="0"/>
      <w:marTop w:val="0"/>
      <w:marBottom w:val="0"/>
      <w:divBdr>
        <w:top w:val="none" w:sz="0" w:space="0" w:color="auto"/>
        <w:left w:val="none" w:sz="0" w:space="0" w:color="auto"/>
        <w:bottom w:val="none" w:sz="0" w:space="0" w:color="auto"/>
        <w:right w:val="none" w:sz="0" w:space="0" w:color="auto"/>
      </w:divBdr>
      <w:divsChild>
        <w:div w:id="19205215">
          <w:marLeft w:val="1636"/>
          <w:marRight w:val="0"/>
          <w:marTop w:val="0"/>
          <w:marBottom w:val="0"/>
          <w:divBdr>
            <w:top w:val="single" w:sz="24" w:space="0" w:color="6C9D30"/>
            <w:left w:val="single" w:sz="2" w:space="0" w:color="2E2E2E"/>
            <w:bottom w:val="single" w:sz="2" w:space="0" w:color="2E2E2E"/>
            <w:right w:val="single" w:sz="2" w:space="0" w:color="2E2E2E"/>
          </w:divBdr>
          <w:divsChild>
            <w:div w:id="1700623852">
              <w:marLeft w:val="0"/>
              <w:marRight w:val="0"/>
              <w:marTop w:val="19"/>
              <w:marBottom w:val="0"/>
              <w:divBdr>
                <w:top w:val="none" w:sz="0" w:space="0" w:color="auto"/>
                <w:left w:val="none" w:sz="0" w:space="0" w:color="auto"/>
                <w:bottom w:val="none" w:sz="0" w:space="0" w:color="auto"/>
                <w:right w:val="none" w:sz="0" w:space="0" w:color="auto"/>
              </w:divBdr>
              <w:divsChild>
                <w:div w:id="255750852">
                  <w:marLeft w:val="0"/>
                  <w:marRight w:val="0"/>
                  <w:marTop w:val="0"/>
                  <w:marBottom w:val="0"/>
                  <w:divBdr>
                    <w:top w:val="none" w:sz="0" w:space="0" w:color="auto"/>
                    <w:left w:val="none" w:sz="0" w:space="0" w:color="auto"/>
                    <w:bottom w:val="none" w:sz="0" w:space="0" w:color="auto"/>
                    <w:right w:val="none" w:sz="0" w:space="0" w:color="auto"/>
                  </w:divBdr>
                  <w:divsChild>
                    <w:div w:id="2000841916">
                      <w:marLeft w:val="0"/>
                      <w:marRight w:val="0"/>
                      <w:marTop w:val="0"/>
                      <w:marBottom w:val="0"/>
                      <w:divBdr>
                        <w:top w:val="none" w:sz="0" w:space="0" w:color="auto"/>
                        <w:left w:val="none" w:sz="0" w:space="0" w:color="auto"/>
                        <w:bottom w:val="none" w:sz="0" w:space="0" w:color="auto"/>
                        <w:right w:val="none" w:sz="0" w:space="0" w:color="auto"/>
                      </w:divBdr>
                      <w:divsChild>
                        <w:div w:id="669603679">
                          <w:marLeft w:val="0"/>
                          <w:marRight w:val="0"/>
                          <w:marTop w:val="0"/>
                          <w:marBottom w:val="0"/>
                          <w:divBdr>
                            <w:top w:val="none" w:sz="0" w:space="0" w:color="auto"/>
                            <w:left w:val="none" w:sz="0" w:space="0" w:color="auto"/>
                            <w:bottom w:val="none" w:sz="0" w:space="0" w:color="auto"/>
                            <w:right w:val="none" w:sz="0" w:space="0" w:color="auto"/>
                          </w:divBdr>
                          <w:divsChild>
                            <w:div w:id="62487438">
                              <w:marLeft w:val="0"/>
                              <w:marRight w:val="0"/>
                              <w:marTop w:val="0"/>
                              <w:marBottom w:val="0"/>
                              <w:divBdr>
                                <w:top w:val="none" w:sz="0" w:space="0" w:color="auto"/>
                                <w:left w:val="none" w:sz="0" w:space="0" w:color="auto"/>
                                <w:bottom w:val="none" w:sz="0" w:space="0" w:color="auto"/>
                                <w:right w:val="none" w:sz="0" w:space="0" w:color="auto"/>
                              </w:divBdr>
                            </w:div>
                            <w:div w:id="555553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8814908">
      <w:bodyDiv w:val="1"/>
      <w:marLeft w:val="0"/>
      <w:marRight w:val="0"/>
      <w:marTop w:val="0"/>
      <w:marBottom w:val="0"/>
      <w:divBdr>
        <w:top w:val="none" w:sz="0" w:space="0" w:color="auto"/>
        <w:left w:val="none" w:sz="0" w:space="0" w:color="auto"/>
        <w:bottom w:val="none" w:sz="0" w:space="0" w:color="auto"/>
        <w:right w:val="none" w:sz="0" w:space="0" w:color="auto"/>
      </w:divBdr>
    </w:div>
    <w:div w:id="844631270">
      <w:bodyDiv w:val="1"/>
      <w:marLeft w:val="0"/>
      <w:marRight w:val="0"/>
      <w:marTop w:val="0"/>
      <w:marBottom w:val="0"/>
      <w:divBdr>
        <w:top w:val="none" w:sz="0" w:space="0" w:color="auto"/>
        <w:left w:val="none" w:sz="0" w:space="0" w:color="auto"/>
        <w:bottom w:val="none" w:sz="0" w:space="0" w:color="auto"/>
        <w:right w:val="none" w:sz="0" w:space="0" w:color="auto"/>
      </w:divBdr>
    </w:div>
    <w:div w:id="1208950437">
      <w:bodyDiv w:val="1"/>
      <w:marLeft w:val="0"/>
      <w:marRight w:val="0"/>
      <w:marTop w:val="0"/>
      <w:marBottom w:val="0"/>
      <w:divBdr>
        <w:top w:val="none" w:sz="0" w:space="0" w:color="auto"/>
        <w:left w:val="none" w:sz="0" w:space="0" w:color="auto"/>
        <w:bottom w:val="none" w:sz="0" w:space="0" w:color="auto"/>
        <w:right w:val="none" w:sz="0" w:space="0" w:color="auto"/>
      </w:divBdr>
    </w:div>
    <w:div w:id="1220242607">
      <w:bodyDiv w:val="1"/>
      <w:marLeft w:val="0"/>
      <w:marRight w:val="0"/>
      <w:marTop w:val="0"/>
      <w:marBottom w:val="0"/>
      <w:divBdr>
        <w:top w:val="none" w:sz="0" w:space="0" w:color="auto"/>
        <w:left w:val="none" w:sz="0" w:space="0" w:color="auto"/>
        <w:bottom w:val="none" w:sz="0" w:space="0" w:color="auto"/>
        <w:right w:val="none" w:sz="0" w:space="0" w:color="auto"/>
      </w:divBdr>
      <w:divsChild>
        <w:div w:id="306520565">
          <w:marLeft w:val="0"/>
          <w:marRight w:val="0"/>
          <w:marTop w:val="0"/>
          <w:marBottom w:val="0"/>
          <w:divBdr>
            <w:top w:val="none" w:sz="0" w:space="0" w:color="auto"/>
            <w:left w:val="none" w:sz="0" w:space="0" w:color="auto"/>
            <w:bottom w:val="none" w:sz="0" w:space="0" w:color="auto"/>
            <w:right w:val="none" w:sz="0" w:space="0" w:color="auto"/>
          </w:divBdr>
        </w:div>
      </w:divsChild>
    </w:div>
    <w:div w:id="1430852282">
      <w:bodyDiv w:val="1"/>
      <w:marLeft w:val="0"/>
      <w:marRight w:val="0"/>
      <w:marTop w:val="0"/>
      <w:marBottom w:val="0"/>
      <w:divBdr>
        <w:top w:val="none" w:sz="0" w:space="0" w:color="auto"/>
        <w:left w:val="none" w:sz="0" w:space="0" w:color="auto"/>
        <w:bottom w:val="none" w:sz="0" w:space="0" w:color="auto"/>
        <w:right w:val="none" w:sz="0" w:space="0" w:color="auto"/>
      </w:divBdr>
      <w:divsChild>
        <w:div w:id="945304658">
          <w:marLeft w:val="0"/>
          <w:marRight w:val="0"/>
          <w:marTop w:val="0"/>
          <w:marBottom w:val="0"/>
          <w:divBdr>
            <w:top w:val="none" w:sz="0" w:space="0" w:color="auto"/>
            <w:left w:val="none" w:sz="0" w:space="0" w:color="auto"/>
            <w:bottom w:val="none" w:sz="0" w:space="0" w:color="auto"/>
            <w:right w:val="none" w:sz="0" w:space="0" w:color="auto"/>
          </w:divBdr>
          <w:divsChild>
            <w:div w:id="1005323763">
              <w:marLeft w:val="0"/>
              <w:marRight w:val="0"/>
              <w:marTop w:val="0"/>
              <w:marBottom w:val="0"/>
              <w:divBdr>
                <w:top w:val="none" w:sz="0" w:space="0" w:color="auto"/>
                <w:left w:val="none" w:sz="0" w:space="0" w:color="auto"/>
                <w:bottom w:val="none" w:sz="0" w:space="0" w:color="auto"/>
                <w:right w:val="none" w:sz="0" w:space="0" w:color="auto"/>
              </w:divBdr>
              <w:divsChild>
                <w:div w:id="1912541176">
                  <w:marLeft w:val="0"/>
                  <w:marRight w:val="0"/>
                  <w:marTop w:val="0"/>
                  <w:marBottom w:val="374"/>
                  <w:divBdr>
                    <w:top w:val="none" w:sz="0" w:space="0" w:color="auto"/>
                    <w:left w:val="none" w:sz="0" w:space="0" w:color="auto"/>
                    <w:bottom w:val="single" w:sz="8" w:space="0" w:color="E0E0E0"/>
                    <w:right w:val="none" w:sz="0" w:space="0" w:color="auto"/>
                  </w:divBdr>
                  <w:divsChild>
                    <w:div w:id="1697266144">
                      <w:marLeft w:val="0"/>
                      <w:marRight w:val="0"/>
                      <w:marTop w:val="0"/>
                      <w:marBottom w:val="0"/>
                      <w:divBdr>
                        <w:top w:val="none" w:sz="0" w:space="0" w:color="auto"/>
                        <w:left w:val="none" w:sz="0" w:space="0" w:color="auto"/>
                        <w:bottom w:val="none" w:sz="0" w:space="0" w:color="auto"/>
                        <w:right w:val="none" w:sz="0" w:space="0" w:color="auto"/>
                      </w:divBdr>
                      <w:divsChild>
                        <w:div w:id="255789433">
                          <w:marLeft w:val="0"/>
                          <w:marRight w:val="0"/>
                          <w:marTop w:val="0"/>
                          <w:marBottom w:val="374"/>
                          <w:divBdr>
                            <w:top w:val="none" w:sz="0" w:space="0" w:color="auto"/>
                            <w:left w:val="none" w:sz="0" w:space="0" w:color="auto"/>
                            <w:bottom w:val="single" w:sz="12" w:space="0" w:color="EBEBEB"/>
                            <w:right w:val="none" w:sz="0" w:space="0" w:color="auto"/>
                          </w:divBdr>
                          <w:divsChild>
                            <w:div w:id="1671637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8259446">
      <w:bodyDiv w:val="1"/>
      <w:marLeft w:val="0"/>
      <w:marRight w:val="0"/>
      <w:marTop w:val="0"/>
      <w:marBottom w:val="0"/>
      <w:divBdr>
        <w:top w:val="none" w:sz="0" w:space="0" w:color="auto"/>
        <w:left w:val="none" w:sz="0" w:space="0" w:color="auto"/>
        <w:bottom w:val="none" w:sz="0" w:space="0" w:color="auto"/>
        <w:right w:val="none" w:sz="0" w:space="0" w:color="auto"/>
      </w:divBdr>
    </w:div>
    <w:div w:id="1557888155">
      <w:bodyDiv w:val="1"/>
      <w:marLeft w:val="0"/>
      <w:marRight w:val="0"/>
      <w:marTop w:val="0"/>
      <w:marBottom w:val="0"/>
      <w:divBdr>
        <w:top w:val="none" w:sz="0" w:space="0" w:color="auto"/>
        <w:left w:val="none" w:sz="0" w:space="0" w:color="auto"/>
        <w:bottom w:val="none" w:sz="0" w:space="0" w:color="auto"/>
        <w:right w:val="none" w:sz="0" w:space="0" w:color="auto"/>
      </w:divBdr>
      <w:divsChild>
        <w:div w:id="1954940304">
          <w:marLeft w:val="0"/>
          <w:marRight w:val="0"/>
          <w:marTop w:val="0"/>
          <w:marBottom w:val="0"/>
          <w:divBdr>
            <w:top w:val="none" w:sz="0" w:space="0" w:color="auto"/>
            <w:left w:val="none" w:sz="0" w:space="0" w:color="auto"/>
            <w:bottom w:val="none" w:sz="0" w:space="0" w:color="auto"/>
            <w:right w:val="none" w:sz="0" w:space="0" w:color="auto"/>
          </w:divBdr>
        </w:div>
      </w:divsChild>
    </w:div>
    <w:div w:id="1606690529">
      <w:bodyDiv w:val="1"/>
      <w:marLeft w:val="0"/>
      <w:marRight w:val="0"/>
      <w:marTop w:val="0"/>
      <w:marBottom w:val="0"/>
      <w:divBdr>
        <w:top w:val="none" w:sz="0" w:space="0" w:color="auto"/>
        <w:left w:val="none" w:sz="0" w:space="0" w:color="auto"/>
        <w:bottom w:val="none" w:sz="0" w:space="0" w:color="auto"/>
        <w:right w:val="none" w:sz="0" w:space="0" w:color="auto"/>
      </w:divBdr>
      <w:divsChild>
        <w:div w:id="1209368481">
          <w:marLeft w:val="1636"/>
          <w:marRight w:val="0"/>
          <w:marTop w:val="0"/>
          <w:marBottom w:val="0"/>
          <w:divBdr>
            <w:top w:val="single" w:sz="24" w:space="0" w:color="6C9D30"/>
            <w:left w:val="single" w:sz="2" w:space="0" w:color="2E2E2E"/>
            <w:bottom w:val="single" w:sz="2" w:space="0" w:color="2E2E2E"/>
            <w:right w:val="single" w:sz="2" w:space="0" w:color="2E2E2E"/>
          </w:divBdr>
          <w:divsChild>
            <w:div w:id="1454053736">
              <w:marLeft w:val="0"/>
              <w:marRight w:val="0"/>
              <w:marTop w:val="19"/>
              <w:marBottom w:val="0"/>
              <w:divBdr>
                <w:top w:val="none" w:sz="0" w:space="0" w:color="auto"/>
                <w:left w:val="none" w:sz="0" w:space="0" w:color="auto"/>
                <w:bottom w:val="none" w:sz="0" w:space="0" w:color="auto"/>
                <w:right w:val="none" w:sz="0" w:space="0" w:color="auto"/>
              </w:divBdr>
              <w:divsChild>
                <w:div w:id="1411271904">
                  <w:marLeft w:val="0"/>
                  <w:marRight w:val="0"/>
                  <w:marTop w:val="0"/>
                  <w:marBottom w:val="0"/>
                  <w:divBdr>
                    <w:top w:val="none" w:sz="0" w:space="0" w:color="auto"/>
                    <w:left w:val="none" w:sz="0" w:space="0" w:color="auto"/>
                    <w:bottom w:val="none" w:sz="0" w:space="0" w:color="auto"/>
                    <w:right w:val="none" w:sz="0" w:space="0" w:color="auto"/>
                  </w:divBdr>
                  <w:divsChild>
                    <w:div w:id="1667242411">
                      <w:marLeft w:val="0"/>
                      <w:marRight w:val="0"/>
                      <w:marTop w:val="0"/>
                      <w:marBottom w:val="0"/>
                      <w:divBdr>
                        <w:top w:val="none" w:sz="0" w:space="0" w:color="auto"/>
                        <w:left w:val="none" w:sz="0" w:space="0" w:color="auto"/>
                        <w:bottom w:val="none" w:sz="0" w:space="0" w:color="auto"/>
                        <w:right w:val="none" w:sz="0" w:space="0" w:color="auto"/>
                      </w:divBdr>
                      <w:divsChild>
                        <w:div w:id="1292370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8864829">
      <w:bodyDiv w:val="1"/>
      <w:marLeft w:val="0"/>
      <w:marRight w:val="0"/>
      <w:marTop w:val="0"/>
      <w:marBottom w:val="0"/>
      <w:divBdr>
        <w:top w:val="none" w:sz="0" w:space="0" w:color="auto"/>
        <w:left w:val="none" w:sz="0" w:space="0" w:color="auto"/>
        <w:bottom w:val="none" w:sz="0" w:space="0" w:color="auto"/>
        <w:right w:val="none" w:sz="0" w:space="0" w:color="auto"/>
      </w:divBdr>
    </w:div>
    <w:div w:id="1735008433">
      <w:bodyDiv w:val="1"/>
      <w:marLeft w:val="0"/>
      <w:marRight w:val="0"/>
      <w:marTop w:val="0"/>
      <w:marBottom w:val="0"/>
      <w:divBdr>
        <w:top w:val="none" w:sz="0" w:space="0" w:color="auto"/>
        <w:left w:val="none" w:sz="0" w:space="0" w:color="auto"/>
        <w:bottom w:val="none" w:sz="0" w:space="0" w:color="auto"/>
        <w:right w:val="none" w:sz="0" w:space="0" w:color="auto"/>
      </w:divBdr>
    </w:div>
    <w:div w:id="1762264452">
      <w:bodyDiv w:val="1"/>
      <w:marLeft w:val="0"/>
      <w:marRight w:val="0"/>
      <w:marTop w:val="0"/>
      <w:marBottom w:val="0"/>
      <w:divBdr>
        <w:top w:val="none" w:sz="0" w:space="0" w:color="auto"/>
        <w:left w:val="none" w:sz="0" w:space="0" w:color="auto"/>
        <w:bottom w:val="none" w:sz="0" w:space="0" w:color="auto"/>
        <w:right w:val="none" w:sz="0" w:space="0" w:color="auto"/>
      </w:divBdr>
    </w:div>
    <w:div w:id="1806003851">
      <w:bodyDiv w:val="1"/>
      <w:marLeft w:val="0"/>
      <w:marRight w:val="0"/>
      <w:marTop w:val="0"/>
      <w:marBottom w:val="0"/>
      <w:divBdr>
        <w:top w:val="none" w:sz="0" w:space="0" w:color="auto"/>
        <w:left w:val="none" w:sz="0" w:space="0" w:color="auto"/>
        <w:bottom w:val="none" w:sz="0" w:space="0" w:color="auto"/>
        <w:right w:val="none" w:sz="0" w:space="0" w:color="auto"/>
      </w:divBdr>
      <w:divsChild>
        <w:div w:id="972173748">
          <w:marLeft w:val="0"/>
          <w:marRight w:val="0"/>
          <w:marTop w:val="0"/>
          <w:marBottom w:val="0"/>
          <w:divBdr>
            <w:top w:val="none" w:sz="0" w:space="0" w:color="auto"/>
            <w:left w:val="none" w:sz="0" w:space="0" w:color="auto"/>
            <w:bottom w:val="none" w:sz="0" w:space="0" w:color="auto"/>
            <w:right w:val="none" w:sz="0" w:space="0" w:color="auto"/>
          </w:divBdr>
          <w:divsChild>
            <w:div w:id="409163093">
              <w:marLeft w:val="0"/>
              <w:marRight w:val="0"/>
              <w:marTop w:val="0"/>
              <w:marBottom w:val="0"/>
              <w:divBdr>
                <w:top w:val="none" w:sz="0" w:space="0" w:color="auto"/>
                <w:left w:val="none" w:sz="0" w:space="0" w:color="auto"/>
                <w:bottom w:val="none" w:sz="0" w:space="0" w:color="auto"/>
                <w:right w:val="none" w:sz="0" w:space="0" w:color="auto"/>
              </w:divBdr>
              <w:divsChild>
                <w:div w:id="126510428">
                  <w:marLeft w:val="0"/>
                  <w:marRight w:val="0"/>
                  <w:marTop w:val="0"/>
                  <w:marBottom w:val="0"/>
                  <w:divBdr>
                    <w:top w:val="none" w:sz="0" w:space="0" w:color="auto"/>
                    <w:left w:val="none" w:sz="0" w:space="0" w:color="auto"/>
                    <w:bottom w:val="none" w:sz="0" w:space="0" w:color="auto"/>
                    <w:right w:val="none" w:sz="0" w:space="0" w:color="auto"/>
                  </w:divBdr>
                  <w:divsChild>
                    <w:div w:id="68045753">
                      <w:marLeft w:val="0"/>
                      <w:marRight w:val="0"/>
                      <w:marTop w:val="0"/>
                      <w:marBottom w:val="0"/>
                      <w:divBdr>
                        <w:top w:val="none" w:sz="0" w:space="0" w:color="auto"/>
                        <w:left w:val="none" w:sz="0" w:space="0" w:color="auto"/>
                        <w:bottom w:val="none" w:sz="0" w:space="0" w:color="auto"/>
                        <w:right w:val="none" w:sz="0" w:space="0" w:color="auto"/>
                      </w:divBdr>
                      <w:divsChild>
                        <w:div w:id="1405032129">
                          <w:marLeft w:val="0"/>
                          <w:marRight w:val="0"/>
                          <w:marTop w:val="0"/>
                          <w:marBottom w:val="0"/>
                          <w:divBdr>
                            <w:top w:val="none" w:sz="0" w:space="0" w:color="auto"/>
                            <w:left w:val="none" w:sz="0" w:space="0" w:color="auto"/>
                            <w:bottom w:val="none" w:sz="0" w:space="0" w:color="auto"/>
                            <w:right w:val="none" w:sz="0" w:space="0" w:color="auto"/>
                          </w:divBdr>
                          <w:divsChild>
                            <w:div w:id="6103341">
                              <w:marLeft w:val="0"/>
                              <w:marRight w:val="0"/>
                              <w:marTop w:val="0"/>
                              <w:marBottom w:val="0"/>
                              <w:divBdr>
                                <w:top w:val="none" w:sz="0" w:space="0" w:color="auto"/>
                                <w:left w:val="none" w:sz="0" w:space="0" w:color="auto"/>
                                <w:bottom w:val="none" w:sz="0" w:space="0" w:color="auto"/>
                                <w:right w:val="none" w:sz="0" w:space="0" w:color="auto"/>
                              </w:divBdr>
                              <w:divsChild>
                                <w:div w:id="2127849382">
                                  <w:marLeft w:val="0"/>
                                  <w:marRight w:val="0"/>
                                  <w:marTop w:val="0"/>
                                  <w:marBottom w:val="0"/>
                                  <w:divBdr>
                                    <w:top w:val="none" w:sz="0" w:space="0" w:color="auto"/>
                                    <w:left w:val="none" w:sz="0" w:space="0" w:color="auto"/>
                                    <w:bottom w:val="none" w:sz="0" w:space="0" w:color="auto"/>
                                    <w:right w:val="none" w:sz="0" w:space="0" w:color="auto"/>
                                  </w:divBdr>
                                  <w:divsChild>
                                    <w:div w:id="1664818441">
                                      <w:marLeft w:val="0"/>
                                      <w:marRight w:val="0"/>
                                      <w:marTop w:val="0"/>
                                      <w:marBottom w:val="0"/>
                                      <w:divBdr>
                                        <w:top w:val="none" w:sz="0" w:space="0" w:color="auto"/>
                                        <w:left w:val="none" w:sz="0" w:space="0" w:color="auto"/>
                                        <w:bottom w:val="none" w:sz="0" w:space="0" w:color="auto"/>
                                        <w:right w:val="none" w:sz="0" w:space="0" w:color="auto"/>
                                      </w:divBdr>
                                      <w:divsChild>
                                        <w:div w:id="1457677131">
                                          <w:marLeft w:val="0"/>
                                          <w:marRight w:val="0"/>
                                          <w:marTop w:val="0"/>
                                          <w:marBottom w:val="0"/>
                                          <w:divBdr>
                                            <w:top w:val="none" w:sz="0" w:space="0" w:color="auto"/>
                                            <w:left w:val="none" w:sz="0" w:space="0" w:color="auto"/>
                                            <w:bottom w:val="none" w:sz="0" w:space="0" w:color="auto"/>
                                            <w:right w:val="none" w:sz="0" w:space="0" w:color="auto"/>
                                          </w:divBdr>
                                          <w:divsChild>
                                            <w:div w:id="1478184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22989199">
      <w:bodyDiv w:val="1"/>
      <w:marLeft w:val="0"/>
      <w:marRight w:val="0"/>
      <w:marTop w:val="0"/>
      <w:marBottom w:val="0"/>
      <w:divBdr>
        <w:top w:val="none" w:sz="0" w:space="0" w:color="auto"/>
        <w:left w:val="none" w:sz="0" w:space="0" w:color="auto"/>
        <w:bottom w:val="none" w:sz="0" w:space="0" w:color="auto"/>
        <w:right w:val="none" w:sz="0" w:space="0" w:color="auto"/>
      </w:divBdr>
      <w:divsChild>
        <w:div w:id="405343386">
          <w:marLeft w:val="0"/>
          <w:marRight w:val="0"/>
          <w:marTop w:val="0"/>
          <w:marBottom w:val="0"/>
          <w:divBdr>
            <w:top w:val="none" w:sz="0" w:space="0" w:color="auto"/>
            <w:left w:val="none" w:sz="0" w:space="0" w:color="auto"/>
            <w:bottom w:val="none" w:sz="0" w:space="0" w:color="auto"/>
            <w:right w:val="none" w:sz="0" w:space="0" w:color="auto"/>
          </w:divBdr>
          <w:divsChild>
            <w:div w:id="1899895383">
              <w:marLeft w:val="0"/>
              <w:marRight w:val="0"/>
              <w:marTop w:val="0"/>
              <w:marBottom w:val="0"/>
              <w:divBdr>
                <w:top w:val="none" w:sz="0" w:space="0" w:color="auto"/>
                <w:left w:val="none" w:sz="0" w:space="0" w:color="auto"/>
                <w:bottom w:val="none" w:sz="0" w:space="0" w:color="auto"/>
                <w:right w:val="none" w:sz="0" w:space="0" w:color="auto"/>
              </w:divBdr>
              <w:divsChild>
                <w:div w:id="1683431346">
                  <w:marLeft w:val="0"/>
                  <w:marRight w:val="0"/>
                  <w:marTop w:val="0"/>
                  <w:marBottom w:val="0"/>
                  <w:divBdr>
                    <w:top w:val="none" w:sz="0" w:space="0" w:color="auto"/>
                    <w:left w:val="none" w:sz="0" w:space="0" w:color="auto"/>
                    <w:bottom w:val="none" w:sz="0" w:space="0" w:color="auto"/>
                    <w:right w:val="none" w:sz="0" w:space="0" w:color="auto"/>
                  </w:divBdr>
                  <w:divsChild>
                    <w:div w:id="708385393">
                      <w:marLeft w:val="0"/>
                      <w:marRight w:val="0"/>
                      <w:marTop w:val="75"/>
                      <w:marBottom w:val="150"/>
                      <w:divBdr>
                        <w:top w:val="none" w:sz="0" w:space="0" w:color="auto"/>
                        <w:left w:val="none" w:sz="0" w:space="0" w:color="auto"/>
                        <w:bottom w:val="none" w:sz="0" w:space="0" w:color="auto"/>
                        <w:right w:val="none" w:sz="0" w:space="0" w:color="auto"/>
                      </w:divBdr>
                      <w:divsChild>
                        <w:div w:id="1945919749">
                          <w:marLeft w:val="0"/>
                          <w:marRight w:val="0"/>
                          <w:marTop w:val="0"/>
                          <w:marBottom w:val="0"/>
                          <w:divBdr>
                            <w:top w:val="single" w:sz="2" w:space="0" w:color="CCCCCC"/>
                            <w:left w:val="single" w:sz="2" w:space="0" w:color="CCCCCC"/>
                            <w:bottom w:val="single" w:sz="2" w:space="0" w:color="CCCCCC"/>
                            <w:right w:val="single" w:sz="2" w:space="0" w:color="CCCCCC"/>
                          </w:divBdr>
                          <w:divsChild>
                            <w:div w:id="464081438">
                              <w:marLeft w:val="0"/>
                              <w:marRight w:val="0"/>
                              <w:marTop w:val="0"/>
                              <w:marBottom w:val="0"/>
                              <w:divBdr>
                                <w:top w:val="none" w:sz="0" w:space="0" w:color="auto"/>
                                <w:left w:val="none" w:sz="0" w:space="0" w:color="auto"/>
                                <w:bottom w:val="none" w:sz="0" w:space="0" w:color="auto"/>
                                <w:right w:val="none" w:sz="0" w:space="0" w:color="auto"/>
                              </w:divBdr>
                              <w:divsChild>
                                <w:div w:id="477116053">
                                  <w:marLeft w:val="0"/>
                                  <w:marRight w:val="0"/>
                                  <w:marTop w:val="0"/>
                                  <w:marBottom w:val="0"/>
                                  <w:divBdr>
                                    <w:top w:val="none" w:sz="0" w:space="0" w:color="auto"/>
                                    <w:left w:val="none" w:sz="0" w:space="0" w:color="auto"/>
                                    <w:bottom w:val="none" w:sz="0" w:space="0" w:color="auto"/>
                                    <w:right w:val="none" w:sz="0" w:space="0" w:color="auto"/>
                                  </w:divBdr>
                                  <w:divsChild>
                                    <w:div w:id="1640110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ershon@northwestern.edu" TargetMode="External"/><Relationship Id="rId3" Type="http://schemas.openxmlformats.org/officeDocument/2006/relationships/settings" Target="settings.xml"/><Relationship Id="rId7" Type="http://schemas.openxmlformats.org/officeDocument/2006/relationships/hyperlink" Target="http://www.nihtoolbox.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39</Pages>
  <Words>7810</Words>
  <Characters>44519</Characters>
  <Application>Microsoft Office Word</Application>
  <DocSecurity>0</DocSecurity>
  <Lines>370</Lines>
  <Paragraphs>104</Paragraphs>
  <ScaleCrop>false</ScaleCrop>
  <HeadingPairs>
    <vt:vector size="2" baseType="variant">
      <vt:variant>
        <vt:lpstr>Title</vt:lpstr>
      </vt:variant>
      <vt:variant>
        <vt:i4>1</vt:i4>
      </vt:variant>
    </vt:vector>
  </HeadingPairs>
  <TitlesOfParts>
    <vt:vector size="1" baseType="lpstr">
      <vt:lpstr/>
    </vt:vector>
  </TitlesOfParts>
  <Company>Altarum Institute</Company>
  <LinksUpToDate>false</LinksUpToDate>
  <CharactersWithSpaces>52225</CharactersWithSpaces>
  <SharedDoc>false</SharedDoc>
  <HLinks>
    <vt:vector size="6" baseType="variant">
      <vt:variant>
        <vt:i4>2883586</vt:i4>
      </vt:variant>
      <vt:variant>
        <vt:i4>0</vt:i4>
      </vt:variant>
      <vt:variant>
        <vt:i4>0</vt:i4>
      </vt:variant>
      <vt:variant>
        <vt:i4>5</vt:i4>
      </vt:variant>
      <vt:variant>
        <vt:lpwstr>mailto:gershon@northwestern.edu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Traumatic Brain Injury Common Data Element Outcome Measure Recommendations</dc:title>
  <dc:subject>CRF</dc:subject>
  <dc:creator>NINDS</dc:creator>
  <cp:keywords>NINDS, CRF, Traumatic Brain Injury Common Data Element</cp:keywords>
  <cp:lastModifiedBy>Andy Franklin</cp:lastModifiedBy>
  <cp:revision>2</cp:revision>
  <dcterms:created xsi:type="dcterms:W3CDTF">2014-05-16T14:08:00Z</dcterms:created>
  <dcterms:modified xsi:type="dcterms:W3CDTF">2014-05-16T14:08:00Z</dcterms:modified>
  <cp:category>CRF</cp:category>
  <cp:contentStatus>508 Compliant</cp:contentStatus>
</cp:coreProperties>
</file>