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FE" w:rsidRPr="00D07445" w:rsidRDefault="004233FE" w:rsidP="00D07445">
      <w:pPr>
        <w:pStyle w:val="Heading2"/>
      </w:pPr>
      <w:r w:rsidRPr="00D07445">
        <w:t xml:space="preserve">Outcome Domain: </w:t>
      </w:r>
    </w:p>
    <w:p w:rsidR="004233FE" w:rsidRDefault="004233FE" w:rsidP="004233FE">
      <w:pPr>
        <w:rPr>
          <w:rFonts w:cs="Calibri"/>
        </w:rPr>
      </w:pPr>
      <w:r>
        <w:rPr>
          <w:rFonts w:cs="Calibri"/>
        </w:rPr>
        <w:t>Cognitive Activity Limitations</w:t>
      </w:r>
    </w:p>
    <w:p w:rsidR="004233FE" w:rsidRPr="00D07445" w:rsidRDefault="004233FE" w:rsidP="00D07445">
      <w:pPr>
        <w:pStyle w:val="Heading3"/>
      </w:pPr>
      <w:r w:rsidRPr="00D07445">
        <w:t xml:space="preserve">Domain Description and Relevance in TBI: </w:t>
      </w:r>
    </w:p>
    <w:p w:rsidR="004233FE" w:rsidRPr="005463F4" w:rsidRDefault="00461B61" w:rsidP="004233FE">
      <w:pPr>
        <w:rPr>
          <w:rFonts w:cs="Calibri"/>
        </w:rPr>
      </w:pPr>
      <w:r>
        <w:rPr>
          <w:rFonts w:cs="Calibri"/>
        </w:rPr>
        <w:t>“</w:t>
      </w:r>
      <w:r w:rsidR="004233FE" w:rsidRPr="004233FE">
        <w:rPr>
          <w:rFonts w:cs="Calibri"/>
        </w:rPr>
        <w:t>Cognitive activity measures describe the impact of neuropsychological impairments on cognitively loaded real-world tasks such as instrumental activities of daily living, functional communication, and health and safety-related behaviors.</w:t>
      </w:r>
      <w:r>
        <w:rPr>
          <w:rFonts w:cs="Calibri"/>
        </w:rPr>
        <w:t>” – Wilde et al. 2010</w:t>
      </w:r>
    </w:p>
    <w:p w:rsidR="00D07445" w:rsidRDefault="00D07445" w:rsidP="00D07445">
      <w:pPr>
        <w:pStyle w:val="Caption"/>
        <w:keepNext/>
      </w:pPr>
      <w:r>
        <w:t xml:space="preserve">Table </w:t>
      </w:r>
      <w:fldSimple w:instr=" SEQ Table \* ARABIC ">
        <w:r>
          <w:rPr>
            <w:noProof/>
          </w:rPr>
          <w:t>1</w:t>
        </w:r>
      </w:fldSimple>
      <w:r>
        <w:t xml:space="preserve"> </w:t>
      </w:r>
      <w:r w:rsidRPr="00244F25">
        <w:t>CDE Classification by Type of TBI Study and Relevant Population for Recommended Cognitive Activity Limitations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4233FE" w:rsidRPr="005463F4" w:rsidTr="00015845">
        <w:trPr>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4233FE" w:rsidRPr="00D07445" w:rsidRDefault="004233FE" w:rsidP="008959BA">
            <w:pPr>
              <w:spacing w:after="0" w:line="240" w:lineRule="auto"/>
              <w:jc w:val="center"/>
              <w:rPr>
                <w:rFonts w:eastAsia="Times New Roman" w:cs="Calibri"/>
                <w:bCs/>
                <w:sz w:val="20"/>
                <w:szCs w:val="20"/>
              </w:rPr>
            </w:pPr>
            <w:r w:rsidRPr="00D07445">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4233FE" w:rsidRPr="00D07445" w:rsidRDefault="004233FE" w:rsidP="008959BA">
            <w:pPr>
              <w:spacing w:after="0" w:line="240" w:lineRule="auto"/>
              <w:jc w:val="center"/>
              <w:rPr>
                <w:rFonts w:eastAsia="Times New Roman" w:cs="Calibri"/>
                <w:bCs/>
                <w:sz w:val="20"/>
                <w:szCs w:val="20"/>
              </w:rPr>
            </w:pPr>
            <w:r w:rsidRPr="00D07445">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4233FE" w:rsidRPr="00D07445" w:rsidRDefault="004233FE" w:rsidP="008959BA">
            <w:pPr>
              <w:spacing w:after="0" w:line="240" w:lineRule="auto"/>
              <w:jc w:val="center"/>
              <w:rPr>
                <w:rFonts w:eastAsia="Times New Roman" w:cs="Calibri"/>
                <w:bCs/>
                <w:sz w:val="20"/>
                <w:szCs w:val="20"/>
              </w:rPr>
            </w:pPr>
            <w:r w:rsidRPr="00D07445">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4233FE" w:rsidRPr="00D07445" w:rsidRDefault="004233FE" w:rsidP="008959BA">
            <w:pPr>
              <w:spacing w:after="0" w:line="240" w:lineRule="auto"/>
              <w:jc w:val="center"/>
              <w:rPr>
                <w:rFonts w:eastAsia="Times New Roman" w:cs="Calibri"/>
                <w:bCs/>
                <w:sz w:val="20"/>
                <w:szCs w:val="20"/>
              </w:rPr>
            </w:pPr>
            <w:r w:rsidRPr="00D07445">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4233FE" w:rsidRPr="00D07445" w:rsidRDefault="004233FE" w:rsidP="008959BA">
            <w:pPr>
              <w:spacing w:after="0" w:line="240" w:lineRule="auto"/>
              <w:jc w:val="center"/>
              <w:rPr>
                <w:rFonts w:eastAsia="Times New Roman" w:cs="Calibri"/>
                <w:bCs/>
                <w:sz w:val="20"/>
                <w:szCs w:val="20"/>
              </w:rPr>
            </w:pPr>
            <w:r w:rsidRPr="00D07445">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4233FE" w:rsidRPr="00D07445" w:rsidRDefault="004233FE" w:rsidP="008959BA">
            <w:pPr>
              <w:spacing w:after="0" w:line="240" w:lineRule="auto"/>
              <w:jc w:val="center"/>
              <w:rPr>
                <w:rFonts w:eastAsia="Times New Roman" w:cs="Calibri"/>
                <w:bCs/>
                <w:sz w:val="20"/>
                <w:szCs w:val="20"/>
              </w:rPr>
            </w:pPr>
            <w:r w:rsidRPr="00D07445">
              <w:rPr>
                <w:rFonts w:eastAsia="Times New Roman" w:cs="Calibri"/>
                <w:bCs/>
                <w:sz w:val="20"/>
                <w:szCs w:val="20"/>
              </w:rPr>
              <w:t>Epidemiology</w:t>
            </w:r>
          </w:p>
        </w:tc>
      </w:tr>
      <w:tr w:rsidR="004233FE" w:rsidRPr="005463F4" w:rsidTr="008959BA">
        <w:trPr>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Functional Independence Measur</w:t>
            </w:r>
            <w:bookmarkStart w:id="0" w:name="_GoBack"/>
            <w:bookmarkEnd w:id="0"/>
            <w:r w:rsidRPr="004233FE">
              <w:rPr>
                <w:rFonts w:eastAsia="Times New Roman" w:cs="Calibri"/>
                <w:sz w:val="20"/>
                <w:szCs w:val="20"/>
              </w:rPr>
              <w:t>e - Cognition Subscale (Cog-FIM)</w:t>
            </w:r>
          </w:p>
        </w:tc>
        <w:tc>
          <w:tcPr>
            <w:tcW w:w="1170" w:type="dxa"/>
            <w:tcBorders>
              <w:top w:val="nil"/>
              <w:left w:val="nil"/>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Adult TBI</w:t>
            </w:r>
          </w:p>
        </w:tc>
        <w:tc>
          <w:tcPr>
            <w:tcW w:w="1530" w:type="dxa"/>
            <w:tcBorders>
              <w:top w:val="nil"/>
              <w:left w:val="nil"/>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Basic</w:t>
            </w:r>
          </w:p>
        </w:tc>
        <w:tc>
          <w:tcPr>
            <w:tcW w:w="1530" w:type="dxa"/>
            <w:tcBorders>
              <w:top w:val="nil"/>
              <w:left w:val="nil"/>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Supplemental</w:t>
            </w:r>
          </w:p>
        </w:tc>
      </w:tr>
      <w:tr w:rsidR="004233FE" w:rsidRPr="005463F4" w:rsidTr="008959BA">
        <w:trPr>
          <w:trHeight w:val="900"/>
        </w:trPr>
        <w:tc>
          <w:tcPr>
            <w:tcW w:w="1890" w:type="dxa"/>
            <w:tcBorders>
              <w:top w:val="nil"/>
              <w:left w:val="single" w:sz="4" w:space="0" w:color="auto"/>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Brief Test of Adult Cognition by Telephone</w:t>
            </w:r>
          </w:p>
        </w:tc>
        <w:tc>
          <w:tcPr>
            <w:tcW w:w="1170" w:type="dxa"/>
            <w:tcBorders>
              <w:top w:val="nil"/>
              <w:left w:val="nil"/>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Adult TBI</w:t>
            </w:r>
          </w:p>
        </w:tc>
        <w:tc>
          <w:tcPr>
            <w:tcW w:w="1530" w:type="dxa"/>
            <w:tcBorders>
              <w:top w:val="nil"/>
              <w:left w:val="nil"/>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4233FE" w:rsidRPr="004233FE" w:rsidRDefault="004233FE" w:rsidP="004233FE">
            <w:pPr>
              <w:spacing w:after="0" w:line="240" w:lineRule="auto"/>
              <w:rPr>
                <w:rFonts w:eastAsia="Times New Roman" w:cs="Calibri"/>
                <w:sz w:val="20"/>
                <w:szCs w:val="20"/>
              </w:rPr>
            </w:pPr>
            <w:r w:rsidRPr="004233FE">
              <w:rPr>
                <w:rFonts w:eastAsia="Times New Roman" w:cs="Calibri"/>
                <w:sz w:val="20"/>
                <w:szCs w:val="20"/>
              </w:rPr>
              <w:t>Supplemental</w:t>
            </w:r>
          </w:p>
        </w:tc>
      </w:tr>
    </w:tbl>
    <w:p w:rsidR="004233FE" w:rsidRPr="005463F4" w:rsidRDefault="004233FE" w:rsidP="00D07445">
      <w:pPr>
        <w:pStyle w:val="Heading3"/>
      </w:pPr>
      <w:r w:rsidRPr="005463F4">
        <w:t>References</w:t>
      </w:r>
    </w:p>
    <w:p w:rsidR="00D07445" w:rsidRPr="00D07445" w:rsidRDefault="00D07445" w:rsidP="00D07445">
      <w:r w:rsidRPr="00D07445">
        <w:t xml:space="preserve">Wilde EA, </w:t>
      </w:r>
      <w:proofErr w:type="spellStart"/>
      <w:r w:rsidRPr="00D07445">
        <w:t>Whiteneck</w:t>
      </w:r>
      <w:proofErr w:type="spellEnd"/>
      <w:r w:rsidRPr="00D07445">
        <w:t xml:space="preserve"> GG, </w:t>
      </w:r>
      <w:proofErr w:type="spellStart"/>
      <w:r w:rsidRPr="00D07445">
        <w:t>Bogner</w:t>
      </w:r>
      <w:proofErr w:type="spellEnd"/>
      <w:r w:rsidRPr="00D07445">
        <w:t xml:space="preserve"> J, </w:t>
      </w:r>
      <w:proofErr w:type="spellStart"/>
      <w:r w:rsidRPr="00D07445">
        <w:t>Bushnik</w:t>
      </w:r>
      <w:proofErr w:type="spellEnd"/>
      <w:r w:rsidRPr="00D07445">
        <w:t xml:space="preserve"> T, </w:t>
      </w:r>
      <w:proofErr w:type="spellStart"/>
      <w:r w:rsidRPr="00D07445">
        <w:t>Cifu</w:t>
      </w:r>
      <w:proofErr w:type="spellEnd"/>
      <w:r w:rsidRPr="00D07445">
        <w:t xml:space="preserve"> DX, </w:t>
      </w:r>
      <w:proofErr w:type="spellStart"/>
      <w:r w:rsidRPr="00D07445">
        <w:t>Dikmen</w:t>
      </w:r>
      <w:proofErr w:type="spellEnd"/>
      <w:r w:rsidRPr="00D07445">
        <w:t xml:space="preserve"> S, French L, </w:t>
      </w:r>
      <w:proofErr w:type="spellStart"/>
      <w:r w:rsidRPr="00D07445">
        <w:t>Giacino</w:t>
      </w:r>
      <w:proofErr w:type="spellEnd"/>
      <w:r w:rsidRPr="00D07445">
        <w:t xml:space="preserve"> JT, Hart T, </w:t>
      </w:r>
      <w:proofErr w:type="spellStart"/>
      <w:r w:rsidRPr="00D07445">
        <w:t>Malec</w:t>
      </w:r>
      <w:proofErr w:type="spellEnd"/>
      <w:r w:rsidRPr="00D07445">
        <w:t xml:space="preserve"> JF, Millis SR, </w:t>
      </w:r>
      <w:proofErr w:type="spellStart"/>
      <w:r w:rsidRPr="00D07445">
        <w:t>Novack</w:t>
      </w:r>
      <w:proofErr w:type="spellEnd"/>
      <w:r w:rsidRPr="00D07445">
        <w:t xml:space="preserve"> TA, </w:t>
      </w:r>
      <w:proofErr w:type="spellStart"/>
      <w:r w:rsidRPr="00D07445">
        <w:t>Sherer</w:t>
      </w:r>
      <w:proofErr w:type="spellEnd"/>
      <w:r w:rsidRPr="00D07445">
        <w:t xml:space="preserve"> M, </w:t>
      </w:r>
      <w:proofErr w:type="spellStart"/>
      <w:r w:rsidRPr="00D07445">
        <w:t>Tulsky</w:t>
      </w:r>
      <w:proofErr w:type="spellEnd"/>
      <w:r w:rsidRPr="00D07445">
        <w:t xml:space="preserve"> DS, </w:t>
      </w:r>
      <w:proofErr w:type="spellStart"/>
      <w:r w:rsidRPr="00D07445">
        <w:t>Vanderploeg</w:t>
      </w:r>
      <w:proofErr w:type="spellEnd"/>
      <w:r w:rsidRPr="00D07445">
        <w:t xml:space="preserve"> RD, von </w:t>
      </w:r>
      <w:proofErr w:type="spellStart"/>
      <w:r w:rsidRPr="00D07445">
        <w:t>Steinbuechel</w:t>
      </w:r>
      <w:proofErr w:type="spellEnd"/>
      <w:r w:rsidRPr="00D07445">
        <w:t xml:space="preserve"> N. Recommendations for the use of common outcome measures in traumatic brain injury research. Arch </w:t>
      </w:r>
      <w:proofErr w:type="spellStart"/>
      <w:r w:rsidRPr="00D07445">
        <w:t>Phys</w:t>
      </w:r>
      <w:proofErr w:type="spellEnd"/>
      <w:r w:rsidRPr="00D07445">
        <w:t xml:space="preserve"> Med </w:t>
      </w:r>
      <w:proofErr w:type="spellStart"/>
      <w:r w:rsidRPr="00D07445">
        <w:t>Rehabil</w:t>
      </w:r>
      <w:proofErr w:type="spellEnd"/>
      <w:r w:rsidRPr="00D07445">
        <w:t>. 2010 Nov</w:t>
      </w:r>
      <w:proofErr w:type="gramStart"/>
      <w:r w:rsidRPr="00D07445">
        <w:t>;91</w:t>
      </w:r>
      <w:proofErr w:type="gramEnd"/>
      <w:r w:rsidRPr="00D07445">
        <w:t>(11):1650-1660.e17. [DOI: 10.1016/j.apmr.2010.06.033]</w:t>
      </w:r>
    </w:p>
    <w:p w:rsidR="00BA177D" w:rsidRPr="00BC4EB7" w:rsidRDefault="004233FE" w:rsidP="00D07445">
      <w:pPr>
        <w:pStyle w:val="Heading2"/>
      </w:pPr>
      <w:r>
        <w:br w:type="page"/>
      </w:r>
      <w:r w:rsidR="00BA177D" w:rsidRPr="00BC4EB7">
        <w:lastRenderedPageBreak/>
        <w:t>Functional Independence Measure - Cognition Subscale (Cog-FIM)</w:t>
      </w:r>
    </w:p>
    <w:p w:rsidR="00D07445" w:rsidRDefault="0079543B" w:rsidP="00D07445">
      <w:pPr>
        <w:pStyle w:val="Heading3"/>
      </w:pPr>
      <w:r w:rsidRPr="00BC4EB7">
        <w:t>DESCRIPTION</w:t>
      </w:r>
    </w:p>
    <w:p w:rsidR="00BA177D" w:rsidRPr="00BC4EB7" w:rsidRDefault="00BA177D" w:rsidP="00BA177D">
      <w:pPr>
        <w:spacing w:after="120"/>
        <w:rPr>
          <w:rFonts w:cs="Calibri"/>
        </w:rPr>
      </w:pPr>
      <w:r w:rsidRPr="00BC4EB7">
        <w:rPr>
          <w:rFonts w:cs="Calibri"/>
        </w:rPr>
        <w:t>The FIM(TM) is an 18-item ordinal scale, used with all diagnoses within a rehabilitation population. The FIM(TM) measures degree of independence in activities of self-care, sphincter control, transfers, locomotion, communication, and cognition. FIM(TM) scores range from 1 (total or &gt;75% assistance) to 7 (complete independence).</w:t>
      </w:r>
    </w:p>
    <w:p w:rsidR="00D07445" w:rsidRDefault="0079543B" w:rsidP="00D07445">
      <w:pPr>
        <w:pStyle w:val="Heading3"/>
      </w:pPr>
      <w:r w:rsidRPr="00BC4EB7">
        <w:t xml:space="preserve">PERMISSIBLE VALUES </w:t>
      </w:r>
    </w:p>
    <w:p w:rsidR="00BA177D" w:rsidRPr="00BC4EB7" w:rsidRDefault="00BA177D" w:rsidP="00BA177D">
      <w:pPr>
        <w:spacing w:after="120"/>
        <w:rPr>
          <w:rFonts w:cs="Calibri"/>
          <w:b/>
        </w:rPr>
      </w:pPr>
      <w:r w:rsidRPr="00BC4EB7">
        <w:rPr>
          <w:rFonts w:cs="Calibri"/>
        </w:rPr>
        <w:t xml:space="preserve">Total score range= 18-126. Five item Cognitive </w:t>
      </w:r>
      <w:proofErr w:type="spellStart"/>
      <w:r w:rsidRPr="00BC4EB7">
        <w:rPr>
          <w:rFonts w:cs="Calibri"/>
        </w:rPr>
        <w:t>subscore</w:t>
      </w:r>
      <w:proofErr w:type="spellEnd"/>
      <w:r w:rsidRPr="00BC4EB7">
        <w:rPr>
          <w:rFonts w:cs="Calibri"/>
        </w:rPr>
        <w:t xml:space="preserve"> ranges from 5-35. Scores may be used raw o</w:t>
      </w:r>
      <w:r w:rsidR="00D07445">
        <w:rPr>
          <w:rFonts w:cs="Calibri"/>
        </w:rPr>
        <w:t>r converted to interval scores.</w:t>
      </w:r>
    </w:p>
    <w:p w:rsidR="00D07445" w:rsidRDefault="0079543B" w:rsidP="00D07445">
      <w:pPr>
        <w:pStyle w:val="Heading3"/>
      </w:pPr>
      <w:r w:rsidRPr="00BC4EB7">
        <w:t xml:space="preserve">PROCEDURES </w:t>
      </w:r>
    </w:p>
    <w:p w:rsidR="00BA177D" w:rsidRPr="00BC4EB7" w:rsidRDefault="00BA177D" w:rsidP="00BA177D">
      <w:pPr>
        <w:spacing w:after="120"/>
        <w:rPr>
          <w:rFonts w:cs="Calibri"/>
        </w:rPr>
      </w:pPr>
      <w:r w:rsidRPr="00BC4EB7">
        <w:rPr>
          <w:rFonts w:cs="Calibri"/>
        </w:rPr>
        <w:t>May be completed by rehabilitation clinicians as an observational scale, or by trained paraprofessionals or family members. May be administered by trained interviewers as a self report or proxy report instrument, in person or by phone. FIM(TM) certification is available and required to officially utilize the tool</w:t>
      </w:r>
      <w:r w:rsidR="004233FE" w:rsidRPr="00BC4EB7">
        <w:rPr>
          <w:rFonts w:cs="Calibri"/>
        </w:rPr>
        <w:t>.</w:t>
      </w:r>
      <w:r w:rsidR="00D07445">
        <w:rPr>
          <w:rFonts w:cs="Calibri"/>
        </w:rPr>
        <w:t xml:space="preserve"> </w:t>
      </w:r>
      <w:r w:rsidRPr="00BC4EB7">
        <w:rPr>
          <w:rFonts w:cs="Calibri"/>
        </w:rPr>
        <w:t xml:space="preserve">A detailed manual guides scoring, based on operationally-defined functional abilities. Administration time is </w:t>
      </w:r>
      <w:r w:rsidR="00D07445">
        <w:rPr>
          <w:rFonts w:cs="Calibri"/>
        </w:rPr>
        <w:t>10-20 minutes.</w:t>
      </w:r>
    </w:p>
    <w:p w:rsidR="00D07445" w:rsidRDefault="0079543B" w:rsidP="00D07445">
      <w:pPr>
        <w:pStyle w:val="Heading3"/>
      </w:pPr>
      <w:r w:rsidRPr="00BC4EB7">
        <w:t>COMMENTS</w:t>
      </w:r>
    </w:p>
    <w:p w:rsidR="00BA177D" w:rsidRPr="00BC4EB7" w:rsidRDefault="00BA177D" w:rsidP="00BA177D">
      <w:pPr>
        <w:spacing w:after="120"/>
        <w:rPr>
          <w:rFonts w:cs="Calibri"/>
          <w:u w:val="single"/>
        </w:rPr>
      </w:pPr>
      <w:r w:rsidRPr="00BC4EB7">
        <w:rPr>
          <w:rFonts w:cs="Calibri"/>
        </w:rPr>
        <w:t>Most appropriate for Severe and Moderate Disability levels of GOSE; ceiling effects limit utility in Good Recovery. Not sufficiently sensitive for mild TBI.</w:t>
      </w:r>
      <w:r w:rsidRPr="00BC4EB7">
        <w:rPr>
          <w:rFonts w:cs="Calibri"/>
        </w:rPr>
        <w:tab/>
      </w:r>
    </w:p>
    <w:p w:rsidR="00D07445" w:rsidRDefault="0079543B" w:rsidP="00D07445">
      <w:pPr>
        <w:pStyle w:val="Heading3"/>
      </w:pPr>
      <w:r w:rsidRPr="00BC4EB7">
        <w:t>RATIONALE</w:t>
      </w:r>
    </w:p>
    <w:p w:rsidR="00BA177D" w:rsidRPr="00BC4EB7" w:rsidRDefault="00BA177D" w:rsidP="00BA177D">
      <w:pPr>
        <w:spacing w:after="120"/>
        <w:rPr>
          <w:rFonts w:cs="Calibri"/>
          <w:u w:val="single"/>
        </w:rPr>
      </w:pPr>
      <w:r w:rsidRPr="00BC4EB7">
        <w:rPr>
          <w:rFonts w:cs="Calibri"/>
        </w:rPr>
        <w:t xml:space="preserve">The most widely accepted functional assessment measure in use in the rehabilitation community, FIM(TM) is most useful for assessment of progress during inpatient rehabilitation. Its metric properties have been reported extensively and include high precision, convergent and discriminant validity, and good </w:t>
      </w:r>
      <w:proofErr w:type="spellStart"/>
      <w:r w:rsidRPr="00BC4EB7">
        <w:rPr>
          <w:rFonts w:cs="Calibri"/>
        </w:rPr>
        <w:t>interrater</w:t>
      </w:r>
      <w:proofErr w:type="spellEnd"/>
      <w:r w:rsidRPr="00BC4EB7">
        <w:rPr>
          <w:rFonts w:cs="Calibri"/>
        </w:rPr>
        <w:t xml:space="preserve"> agreement across flexible modes of administration.</w:t>
      </w:r>
    </w:p>
    <w:p w:rsidR="00D07445" w:rsidRDefault="00D07445" w:rsidP="00D07445">
      <w:pPr>
        <w:pStyle w:val="Heading3"/>
      </w:pPr>
      <w:r>
        <w:t>REFERENCES</w:t>
      </w:r>
    </w:p>
    <w:p w:rsidR="00BA177D" w:rsidRPr="00BC4EB7" w:rsidRDefault="00BA177D" w:rsidP="00BA177D">
      <w:pPr>
        <w:spacing w:after="120"/>
        <w:rPr>
          <w:rFonts w:cs="Calibri"/>
        </w:rPr>
      </w:pPr>
      <w:r w:rsidRPr="00BC4EB7">
        <w:rPr>
          <w:rFonts w:cs="Calibri"/>
        </w:rPr>
        <w:t xml:space="preserve">Granger CV. The emerging science of functional assessment: our tool for outcomes analysis. Arch Phys Med </w:t>
      </w:r>
      <w:proofErr w:type="spellStart"/>
      <w:r w:rsidRPr="00BC4EB7">
        <w:rPr>
          <w:rFonts w:cs="Calibri"/>
        </w:rPr>
        <w:t>Rehabil</w:t>
      </w:r>
      <w:proofErr w:type="spellEnd"/>
      <w:r w:rsidRPr="00BC4EB7">
        <w:rPr>
          <w:rFonts w:cs="Calibri"/>
        </w:rPr>
        <w:t xml:space="preserve"> 1998</w:t>
      </w:r>
      <w:proofErr w:type="gramStart"/>
      <w:r w:rsidRPr="00BC4EB7">
        <w:rPr>
          <w:rFonts w:cs="Calibri"/>
        </w:rPr>
        <w:t>;79</w:t>
      </w:r>
      <w:proofErr w:type="gramEnd"/>
      <w:r w:rsidRPr="00BC4EB7">
        <w:rPr>
          <w:rFonts w:cs="Calibri"/>
        </w:rPr>
        <w:t>(3):235-240.</w:t>
      </w:r>
    </w:p>
    <w:p w:rsidR="00BA177D" w:rsidRPr="00BC4EB7" w:rsidRDefault="004233FE" w:rsidP="00D07445">
      <w:pPr>
        <w:pStyle w:val="Heading2"/>
      </w:pPr>
      <w:r w:rsidRPr="00BC4EB7">
        <w:br w:type="page"/>
      </w:r>
      <w:r w:rsidR="00BA177D" w:rsidRPr="00BC4EB7">
        <w:lastRenderedPageBreak/>
        <w:t xml:space="preserve">Brief Test of </w:t>
      </w:r>
      <w:r w:rsidR="00461B61">
        <w:t>A</w:t>
      </w:r>
      <w:r w:rsidR="00BA177D" w:rsidRPr="00BC4EB7">
        <w:t xml:space="preserve">dult Cognition by Telephone (BTACT) </w:t>
      </w:r>
    </w:p>
    <w:p w:rsidR="00BA177D" w:rsidRPr="00BC4EB7" w:rsidRDefault="0079543B" w:rsidP="00D411D5">
      <w:pPr>
        <w:pStyle w:val="Heading3"/>
        <w:spacing w:before="120" w:after="60"/>
      </w:pPr>
      <w:r w:rsidRPr="00BC4EB7">
        <w:t>DESCRIPTION</w:t>
      </w:r>
    </w:p>
    <w:p w:rsidR="00BA177D" w:rsidRPr="00BC4EB7" w:rsidRDefault="00BA177D" w:rsidP="00D411D5">
      <w:pPr>
        <w:spacing w:before="120" w:after="60"/>
        <w:rPr>
          <w:rFonts w:cs="Calibri"/>
        </w:rPr>
      </w:pPr>
      <w:r w:rsidRPr="00BC4EB7">
        <w:rPr>
          <w:rFonts w:cs="Calibri"/>
        </w:rPr>
        <w:t xml:space="preserve">This is a battery of measures developed by Margie </w:t>
      </w:r>
      <w:proofErr w:type="spellStart"/>
      <w:r w:rsidRPr="00BC4EB7">
        <w:rPr>
          <w:rFonts w:cs="Calibri"/>
        </w:rPr>
        <w:t>Lachman</w:t>
      </w:r>
      <w:proofErr w:type="spellEnd"/>
      <w:r w:rsidRPr="00BC4EB7">
        <w:rPr>
          <w:rFonts w:cs="Calibri"/>
        </w:rPr>
        <w:t xml:space="preserve">, PhD of Brandeis University.  The battery, which takes about 20 minutes to administer, includes measures of episodic memory, working memory, reasoning, executive functions, and speed of information processing. The BTACT was collected as a part of the MIDUS-II (Mid-Life in the United States) study, yielding a normative sample of 7,000 </w:t>
      </w:r>
      <w:r w:rsidR="00D07445">
        <w:rPr>
          <w:rFonts w:cs="Calibri"/>
        </w:rPr>
        <w:t xml:space="preserve">community dwellers aged 32-84. </w:t>
      </w:r>
    </w:p>
    <w:p w:rsidR="00D07445" w:rsidRDefault="0079543B" w:rsidP="00D411D5">
      <w:pPr>
        <w:pStyle w:val="Heading3"/>
        <w:spacing w:before="120" w:after="60"/>
      </w:pPr>
      <w:r w:rsidRPr="00BC4EB7">
        <w:t>PERMISSIBLE VALUES</w:t>
      </w:r>
    </w:p>
    <w:p w:rsidR="00BA177D" w:rsidRPr="00BC4EB7" w:rsidRDefault="00BA177D" w:rsidP="00D411D5">
      <w:pPr>
        <w:autoSpaceDE w:val="0"/>
        <w:autoSpaceDN w:val="0"/>
        <w:adjustRightInd w:val="0"/>
        <w:spacing w:before="120" w:after="60" w:line="240" w:lineRule="auto"/>
        <w:rPr>
          <w:rFonts w:ascii="TimesNewRoman" w:hAnsi="TimesNewRoman" w:cs="TimesNewRoman"/>
        </w:rPr>
      </w:pPr>
      <w:r w:rsidRPr="00BC4EB7">
        <w:rPr>
          <w:rFonts w:cs="Calibri"/>
        </w:rPr>
        <w:t xml:space="preserve">Scoring instructions for each test section available in BTACT Test Battery Manual and standard scores are available </w:t>
      </w:r>
    </w:p>
    <w:p w:rsidR="00D07445" w:rsidRDefault="0079543B" w:rsidP="00D411D5">
      <w:pPr>
        <w:pStyle w:val="Heading3"/>
        <w:spacing w:before="120" w:after="60"/>
      </w:pPr>
      <w:r w:rsidRPr="00BC4EB7">
        <w:t xml:space="preserve">PROCEDURE </w:t>
      </w:r>
    </w:p>
    <w:p w:rsidR="00BA177D" w:rsidRPr="00BC4EB7" w:rsidRDefault="00BA177D" w:rsidP="00D411D5">
      <w:pPr>
        <w:autoSpaceDE w:val="0"/>
        <w:autoSpaceDN w:val="0"/>
        <w:adjustRightInd w:val="0"/>
        <w:spacing w:before="120" w:after="60" w:line="240" w:lineRule="auto"/>
        <w:rPr>
          <w:rFonts w:cs="Calibri"/>
        </w:rPr>
      </w:pPr>
      <w:r w:rsidRPr="00BC4EB7">
        <w:rPr>
          <w:rFonts w:cs="Calibri"/>
        </w:rPr>
        <w:t xml:space="preserve">Trained examiners administer the BTACT by telephone. The test can be completed in 15-20 minutes. </w:t>
      </w:r>
    </w:p>
    <w:p w:rsidR="00D07445" w:rsidRDefault="0079543B" w:rsidP="00D411D5">
      <w:pPr>
        <w:pStyle w:val="Heading3"/>
        <w:spacing w:before="120" w:after="60"/>
      </w:pPr>
      <w:r w:rsidRPr="00BC4EB7">
        <w:t xml:space="preserve">COMMENTS </w:t>
      </w:r>
    </w:p>
    <w:p w:rsidR="00BA177D" w:rsidRPr="00BC4EB7" w:rsidRDefault="00BA177D" w:rsidP="00D411D5">
      <w:pPr>
        <w:spacing w:before="120" w:after="60"/>
      </w:pPr>
      <w:r w:rsidRPr="00BC4EB7">
        <w:t>For use in adult populations</w:t>
      </w:r>
    </w:p>
    <w:p w:rsidR="00D07445" w:rsidRDefault="0079543B" w:rsidP="00D07445">
      <w:pPr>
        <w:pStyle w:val="Heading3"/>
      </w:pPr>
      <w:r w:rsidRPr="00BC4EB7">
        <w:t xml:space="preserve">RATIONALE </w:t>
      </w:r>
    </w:p>
    <w:p w:rsidR="00BA177D" w:rsidRPr="00BC4EB7" w:rsidRDefault="00BA177D" w:rsidP="00BA177D">
      <w:pPr>
        <w:rPr>
          <w:rFonts w:cs="Calibri"/>
        </w:rPr>
      </w:pPr>
      <w:r w:rsidRPr="00BC4EB7">
        <w:rPr>
          <w:rFonts w:cs="Calibri"/>
        </w:rPr>
        <w:t xml:space="preserve">The measures included capture important cognitive constructs. The Working Group’s major reason for recommending this battery is that it was developed for telephone administration and has a large norming sample. This battery has not been validated for use with TBI or other neurologic conditions. The BTCT is currently being piloted by the TBI Model System for potential inclusion in the follow-up exams. </w:t>
      </w:r>
    </w:p>
    <w:p w:rsidR="00D07445" w:rsidRDefault="0079543B" w:rsidP="00D07445">
      <w:pPr>
        <w:pStyle w:val="Heading3"/>
      </w:pPr>
      <w:r w:rsidRPr="00BC4EB7">
        <w:t>REFERENCES</w:t>
      </w:r>
    </w:p>
    <w:p w:rsidR="00BA177D" w:rsidRPr="00BC4EB7" w:rsidRDefault="00BA177D" w:rsidP="00D411D5">
      <w:pPr>
        <w:spacing w:before="120" w:after="60"/>
        <w:rPr>
          <w:rFonts w:cs="Calibri"/>
        </w:rPr>
      </w:pPr>
      <w:proofErr w:type="spellStart"/>
      <w:r w:rsidRPr="00BC4EB7">
        <w:rPr>
          <w:rFonts w:cs="Calibri"/>
        </w:rPr>
        <w:t>Lachman</w:t>
      </w:r>
      <w:proofErr w:type="spellEnd"/>
      <w:r w:rsidRPr="00BC4EB7">
        <w:rPr>
          <w:rFonts w:cs="Calibri"/>
        </w:rPr>
        <w:t xml:space="preserve">, M. E., &amp; </w:t>
      </w:r>
      <w:proofErr w:type="spellStart"/>
      <w:r w:rsidRPr="00BC4EB7">
        <w:rPr>
          <w:rFonts w:cs="Calibri"/>
        </w:rPr>
        <w:t>Tun</w:t>
      </w:r>
      <w:proofErr w:type="spellEnd"/>
      <w:r w:rsidRPr="00BC4EB7">
        <w:rPr>
          <w:rFonts w:cs="Calibri"/>
        </w:rPr>
        <w:t xml:space="preserve">, P. A. (2008). Cognitive testing in large-scale surveys: Assessment by telephone. In D. </w:t>
      </w:r>
      <w:proofErr w:type="spellStart"/>
      <w:r w:rsidRPr="00BC4EB7">
        <w:rPr>
          <w:rFonts w:cs="Calibri"/>
        </w:rPr>
        <w:t>Alwin</w:t>
      </w:r>
      <w:proofErr w:type="spellEnd"/>
      <w:r w:rsidRPr="00BC4EB7">
        <w:rPr>
          <w:rFonts w:cs="Calibri"/>
        </w:rPr>
        <w:t xml:space="preserve"> &amp; S. Hofer (Eds.), Handbook on cognitive aging: interdisciplinary perspectives (pp. 506–523). New York, NY: Sage.</w:t>
      </w:r>
    </w:p>
    <w:p w:rsidR="00BA177D" w:rsidRPr="00BC4EB7" w:rsidRDefault="00BA177D" w:rsidP="00D411D5">
      <w:pPr>
        <w:spacing w:before="120" w:after="60"/>
        <w:rPr>
          <w:rFonts w:cs="Calibri"/>
        </w:rPr>
      </w:pPr>
      <w:proofErr w:type="spellStart"/>
      <w:r w:rsidRPr="00BC4EB7">
        <w:rPr>
          <w:rFonts w:cs="Calibri"/>
        </w:rPr>
        <w:t>Tun</w:t>
      </w:r>
      <w:proofErr w:type="spellEnd"/>
      <w:r w:rsidRPr="00BC4EB7">
        <w:rPr>
          <w:rFonts w:cs="Calibri"/>
        </w:rPr>
        <w:t xml:space="preserve">, P. A., &amp; </w:t>
      </w:r>
      <w:proofErr w:type="spellStart"/>
      <w:r w:rsidRPr="00BC4EB7">
        <w:rPr>
          <w:rFonts w:cs="Calibri"/>
        </w:rPr>
        <w:t>Lachman</w:t>
      </w:r>
      <w:proofErr w:type="spellEnd"/>
      <w:r w:rsidRPr="00BC4EB7">
        <w:rPr>
          <w:rFonts w:cs="Calibri"/>
        </w:rPr>
        <w:t>, M. E. (2005). The Brief Test of Adult Cognition by Telephone (BTACT). Technical report, Brandeis University.</w:t>
      </w:r>
    </w:p>
    <w:p w:rsidR="00BA177D" w:rsidRPr="00BC4EB7" w:rsidRDefault="00BA177D" w:rsidP="00D411D5">
      <w:pPr>
        <w:spacing w:before="120" w:after="60"/>
        <w:rPr>
          <w:rFonts w:cs="Calibri"/>
        </w:rPr>
      </w:pPr>
      <w:proofErr w:type="spellStart"/>
      <w:r w:rsidRPr="00BC4EB7">
        <w:rPr>
          <w:rFonts w:cs="Calibri"/>
        </w:rPr>
        <w:t>Tun</w:t>
      </w:r>
      <w:proofErr w:type="spellEnd"/>
      <w:r w:rsidRPr="00BC4EB7">
        <w:rPr>
          <w:rFonts w:cs="Calibri"/>
        </w:rPr>
        <w:t xml:space="preserve">, P. A., &amp; </w:t>
      </w:r>
      <w:proofErr w:type="spellStart"/>
      <w:r w:rsidRPr="00BC4EB7">
        <w:rPr>
          <w:rFonts w:cs="Calibri"/>
        </w:rPr>
        <w:t>Lachman</w:t>
      </w:r>
      <w:proofErr w:type="spellEnd"/>
      <w:r w:rsidRPr="00BC4EB7">
        <w:rPr>
          <w:rFonts w:cs="Calibri"/>
        </w:rPr>
        <w:t>, M. (2006). Telephone assessment of cognitive function in adulthood: The Brief Test of Adult Cognition by Telephone. Age and Ageing, 35, 629–632. doi:10.1093/ageing/afl095</w:t>
      </w:r>
      <w:r w:rsidRPr="00BC4EB7" w:rsidDel="00E20EB1">
        <w:rPr>
          <w:rFonts w:cs="Calibri"/>
        </w:rPr>
        <w:t xml:space="preserve"> </w:t>
      </w:r>
    </w:p>
    <w:sectPr w:rsidR="00BA177D" w:rsidRPr="00BC4EB7" w:rsidSect="00B502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90" w:rsidRDefault="00312B90" w:rsidP="003256BA">
      <w:pPr>
        <w:spacing w:after="0" w:line="240" w:lineRule="auto"/>
      </w:pPr>
      <w:r>
        <w:separator/>
      </w:r>
    </w:p>
  </w:endnote>
  <w:endnote w:type="continuationSeparator" w:id="0">
    <w:p w:rsidR="00312B90" w:rsidRDefault="00312B90"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FE" w:rsidRDefault="004233FE">
    <w:pPr>
      <w:pStyle w:val="Footer"/>
      <w:jc w:val="center"/>
    </w:pPr>
    <w:r>
      <w:fldChar w:fldCharType="begin"/>
    </w:r>
    <w:r>
      <w:instrText xml:space="preserve"> PAGE   \* MERGEFORMAT </w:instrText>
    </w:r>
    <w:r>
      <w:fldChar w:fldCharType="separate"/>
    </w:r>
    <w:r w:rsidR="0001584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90" w:rsidRDefault="00312B90" w:rsidP="003256BA">
      <w:pPr>
        <w:spacing w:after="0" w:line="240" w:lineRule="auto"/>
      </w:pPr>
      <w:r>
        <w:separator/>
      </w:r>
    </w:p>
  </w:footnote>
  <w:footnote w:type="continuationSeparator" w:id="0">
    <w:p w:rsidR="00312B90" w:rsidRDefault="00312B90"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45" w:rsidRPr="00D07445" w:rsidRDefault="00D07445" w:rsidP="00D07445">
    <w:pPr>
      <w:pStyle w:val="Heading1"/>
    </w:pPr>
    <w:r w:rsidRPr="00D07445">
      <w:t>Traumatic Brain Injury (TBI) Common Data Element (CDE)</w:t>
    </w:r>
  </w:p>
  <w:p w:rsidR="00D07445" w:rsidRPr="00D07445" w:rsidRDefault="00D07445" w:rsidP="00D07445">
    <w:pPr>
      <w:pStyle w:val="Heading1"/>
    </w:pPr>
    <w:r w:rsidRPr="00D07445">
      <w:t>Outcome Measure Recommendations</w:t>
    </w:r>
  </w:p>
  <w:p w:rsidR="00D07445" w:rsidRPr="00D07445" w:rsidRDefault="00D07445" w:rsidP="00D07445">
    <w:pPr>
      <w:pStyle w:val="Heading1"/>
    </w:pPr>
    <w:r w:rsidRPr="00D07445">
      <w:t>Version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9"/>
  </w:num>
  <w:num w:numId="5">
    <w:abstractNumId w:val="22"/>
  </w:num>
  <w:num w:numId="6">
    <w:abstractNumId w:val="17"/>
  </w:num>
  <w:num w:numId="7">
    <w:abstractNumId w:val="20"/>
  </w:num>
  <w:num w:numId="8">
    <w:abstractNumId w:val="8"/>
  </w:num>
  <w:num w:numId="9">
    <w:abstractNumId w:val="14"/>
  </w:num>
  <w:num w:numId="10">
    <w:abstractNumId w:val="21"/>
  </w:num>
  <w:num w:numId="11">
    <w:abstractNumId w:val="11"/>
  </w:num>
  <w:num w:numId="12">
    <w:abstractNumId w:val="1"/>
  </w:num>
  <w:num w:numId="13">
    <w:abstractNumId w:val="3"/>
  </w:num>
  <w:num w:numId="14">
    <w:abstractNumId w:val="12"/>
  </w:num>
  <w:num w:numId="15">
    <w:abstractNumId w:val="18"/>
  </w:num>
  <w:num w:numId="16">
    <w:abstractNumId w:val="10"/>
  </w:num>
  <w:num w:numId="17">
    <w:abstractNumId w:val="23"/>
  </w:num>
  <w:num w:numId="18">
    <w:abstractNumId w:val="25"/>
  </w:num>
  <w:num w:numId="19">
    <w:abstractNumId w:val="15"/>
  </w:num>
  <w:num w:numId="20">
    <w:abstractNumId w:val="2"/>
  </w:num>
  <w:num w:numId="21">
    <w:abstractNumId w:val="7"/>
  </w:num>
  <w:num w:numId="22">
    <w:abstractNumId w:val="4"/>
  </w:num>
  <w:num w:numId="23">
    <w:abstractNumId w:val="5"/>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5845"/>
    <w:rsid w:val="000166F1"/>
    <w:rsid w:val="00036648"/>
    <w:rsid w:val="00067485"/>
    <w:rsid w:val="000923C6"/>
    <w:rsid w:val="000C103F"/>
    <w:rsid w:val="000C677D"/>
    <w:rsid w:val="000E4D62"/>
    <w:rsid w:val="00105870"/>
    <w:rsid w:val="00133519"/>
    <w:rsid w:val="00137957"/>
    <w:rsid w:val="00151EE1"/>
    <w:rsid w:val="00155481"/>
    <w:rsid w:val="00186B84"/>
    <w:rsid w:val="001A1472"/>
    <w:rsid w:val="001B190F"/>
    <w:rsid w:val="001C3A62"/>
    <w:rsid w:val="001D4F0B"/>
    <w:rsid w:val="00201DB9"/>
    <w:rsid w:val="0022540E"/>
    <w:rsid w:val="0023143B"/>
    <w:rsid w:val="00257409"/>
    <w:rsid w:val="0026399F"/>
    <w:rsid w:val="0026667A"/>
    <w:rsid w:val="00272AF0"/>
    <w:rsid w:val="002772D0"/>
    <w:rsid w:val="00283B0C"/>
    <w:rsid w:val="002A76D8"/>
    <w:rsid w:val="002B2DCC"/>
    <w:rsid w:val="002E0240"/>
    <w:rsid w:val="002F045A"/>
    <w:rsid w:val="003017B7"/>
    <w:rsid w:val="00312B90"/>
    <w:rsid w:val="003256BA"/>
    <w:rsid w:val="00331FE7"/>
    <w:rsid w:val="00362150"/>
    <w:rsid w:val="003632F5"/>
    <w:rsid w:val="0038142D"/>
    <w:rsid w:val="00390AFC"/>
    <w:rsid w:val="00397664"/>
    <w:rsid w:val="003A10E2"/>
    <w:rsid w:val="003A684C"/>
    <w:rsid w:val="003A71F0"/>
    <w:rsid w:val="003C1198"/>
    <w:rsid w:val="003C5959"/>
    <w:rsid w:val="003D1229"/>
    <w:rsid w:val="003D1E85"/>
    <w:rsid w:val="003F48E0"/>
    <w:rsid w:val="00407ED8"/>
    <w:rsid w:val="00412771"/>
    <w:rsid w:val="00416C28"/>
    <w:rsid w:val="004233FE"/>
    <w:rsid w:val="00425DCE"/>
    <w:rsid w:val="00431050"/>
    <w:rsid w:val="00436F2C"/>
    <w:rsid w:val="00440B65"/>
    <w:rsid w:val="00446D34"/>
    <w:rsid w:val="00447BFD"/>
    <w:rsid w:val="00451F71"/>
    <w:rsid w:val="00461B61"/>
    <w:rsid w:val="00472EB4"/>
    <w:rsid w:val="004A1A0B"/>
    <w:rsid w:val="004A6DFA"/>
    <w:rsid w:val="004A7991"/>
    <w:rsid w:val="004B766F"/>
    <w:rsid w:val="004E73A8"/>
    <w:rsid w:val="00552A1A"/>
    <w:rsid w:val="0057055B"/>
    <w:rsid w:val="00571C71"/>
    <w:rsid w:val="00575537"/>
    <w:rsid w:val="00577465"/>
    <w:rsid w:val="005779AF"/>
    <w:rsid w:val="00595C38"/>
    <w:rsid w:val="00597B14"/>
    <w:rsid w:val="005A7A94"/>
    <w:rsid w:val="005D1371"/>
    <w:rsid w:val="005D3954"/>
    <w:rsid w:val="005E172F"/>
    <w:rsid w:val="005F2C7C"/>
    <w:rsid w:val="005F4802"/>
    <w:rsid w:val="0061104A"/>
    <w:rsid w:val="006126F3"/>
    <w:rsid w:val="00630B38"/>
    <w:rsid w:val="00641332"/>
    <w:rsid w:val="0064276E"/>
    <w:rsid w:val="00656917"/>
    <w:rsid w:val="006A6ED8"/>
    <w:rsid w:val="006B58A1"/>
    <w:rsid w:val="006C3879"/>
    <w:rsid w:val="006D24E0"/>
    <w:rsid w:val="006F24CB"/>
    <w:rsid w:val="006F327D"/>
    <w:rsid w:val="006F58D1"/>
    <w:rsid w:val="00715490"/>
    <w:rsid w:val="00715E1B"/>
    <w:rsid w:val="0073451E"/>
    <w:rsid w:val="00747374"/>
    <w:rsid w:val="00747B7F"/>
    <w:rsid w:val="00757EB8"/>
    <w:rsid w:val="00761F5E"/>
    <w:rsid w:val="00773D2B"/>
    <w:rsid w:val="0079543B"/>
    <w:rsid w:val="007A1862"/>
    <w:rsid w:val="007A76D2"/>
    <w:rsid w:val="0082143F"/>
    <w:rsid w:val="0083461E"/>
    <w:rsid w:val="00837790"/>
    <w:rsid w:val="008517B1"/>
    <w:rsid w:val="00865F08"/>
    <w:rsid w:val="008711D5"/>
    <w:rsid w:val="00872036"/>
    <w:rsid w:val="00892BFF"/>
    <w:rsid w:val="0089414D"/>
    <w:rsid w:val="008959BA"/>
    <w:rsid w:val="00896C1C"/>
    <w:rsid w:val="00897A76"/>
    <w:rsid w:val="008D53AA"/>
    <w:rsid w:val="008E024A"/>
    <w:rsid w:val="008F3218"/>
    <w:rsid w:val="008F563C"/>
    <w:rsid w:val="00915661"/>
    <w:rsid w:val="0095430C"/>
    <w:rsid w:val="00957C3D"/>
    <w:rsid w:val="009877E3"/>
    <w:rsid w:val="00994F6F"/>
    <w:rsid w:val="009A4B21"/>
    <w:rsid w:val="009D6578"/>
    <w:rsid w:val="009E2D7C"/>
    <w:rsid w:val="009E4116"/>
    <w:rsid w:val="009F3D95"/>
    <w:rsid w:val="00A01395"/>
    <w:rsid w:val="00A113F5"/>
    <w:rsid w:val="00A342B0"/>
    <w:rsid w:val="00A354C6"/>
    <w:rsid w:val="00A43D8E"/>
    <w:rsid w:val="00A50916"/>
    <w:rsid w:val="00A668FE"/>
    <w:rsid w:val="00A771A0"/>
    <w:rsid w:val="00A77ED9"/>
    <w:rsid w:val="00A91A68"/>
    <w:rsid w:val="00A942DF"/>
    <w:rsid w:val="00AC68C0"/>
    <w:rsid w:val="00AD42B7"/>
    <w:rsid w:val="00AE19BF"/>
    <w:rsid w:val="00B146A6"/>
    <w:rsid w:val="00B33EFA"/>
    <w:rsid w:val="00B34FCC"/>
    <w:rsid w:val="00B35A36"/>
    <w:rsid w:val="00B37CE3"/>
    <w:rsid w:val="00B50270"/>
    <w:rsid w:val="00B55883"/>
    <w:rsid w:val="00B71CE2"/>
    <w:rsid w:val="00B74F2C"/>
    <w:rsid w:val="00B808CD"/>
    <w:rsid w:val="00B840F4"/>
    <w:rsid w:val="00B92FE1"/>
    <w:rsid w:val="00BA177D"/>
    <w:rsid w:val="00BB167B"/>
    <w:rsid w:val="00BC4EB7"/>
    <w:rsid w:val="00BD7D4C"/>
    <w:rsid w:val="00BE295B"/>
    <w:rsid w:val="00C02CD4"/>
    <w:rsid w:val="00C1442F"/>
    <w:rsid w:val="00C638D1"/>
    <w:rsid w:val="00C657EB"/>
    <w:rsid w:val="00C6740D"/>
    <w:rsid w:val="00C80913"/>
    <w:rsid w:val="00C83AC8"/>
    <w:rsid w:val="00C926B3"/>
    <w:rsid w:val="00C94B32"/>
    <w:rsid w:val="00CD3D95"/>
    <w:rsid w:val="00CD5942"/>
    <w:rsid w:val="00CE6A31"/>
    <w:rsid w:val="00CF3C01"/>
    <w:rsid w:val="00D07445"/>
    <w:rsid w:val="00D20BC6"/>
    <w:rsid w:val="00D24144"/>
    <w:rsid w:val="00D411D5"/>
    <w:rsid w:val="00D44C4D"/>
    <w:rsid w:val="00D468A6"/>
    <w:rsid w:val="00D61192"/>
    <w:rsid w:val="00D84A13"/>
    <w:rsid w:val="00D942BF"/>
    <w:rsid w:val="00DD6C49"/>
    <w:rsid w:val="00E0090D"/>
    <w:rsid w:val="00E20EB1"/>
    <w:rsid w:val="00E41FF2"/>
    <w:rsid w:val="00E51D1C"/>
    <w:rsid w:val="00E53B4C"/>
    <w:rsid w:val="00E712E2"/>
    <w:rsid w:val="00E85E53"/>
    <w:rsid w:val="00EB5061"/>
    <w:rsid w:val="00EF4835"/>
    <w:rsid w:val="00F173F8"/>
    <w:rsid w:val="00F17B5E"/>
    <w:rsid w:val="00F22CE7"/>
    <w:rsid w:val="00F407D7"/>
    <w:rsid w:val="00F517A6"/>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672A7F-FE32-444A-A887-F4458757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D07445"/>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D07445"/>
    <w:pPr>
      <w:outlineLvl w:val="1"/>
    </w:pPr>
    <w:rPr>
      <w:rFonts w:cs="Calibri"/>
      <w:b/>
      <w:sz w:val="24"/>
      <w:szCs w:val="24"/>
    </w:rPr>
  </w:style>
  <w:style w:type="paragraph" w:styleId="Heading3">
    <w:name w:val="heading 3"/>
    <w:basedOn w:val="Normal"/>
    <w:next w:val="Default"/>
    <w:link w:val="Heading3Char"/>
    <w:uiPriority w:val="99"/>
    <w:qFormat/>
    <w:rsid w:val="00D07445"/>
    <w:pPr>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9"/>
    <w:rsid w:val="00D07445"/>
    <w:rPr>
      <w:rFonts w:cs="Calibri"/>
      <w:b/>
      <w:sz w:val="22"/>
      <w:szCs w:val="22"/>
    </w:rPr>
  </w:style>
  <w:style w:type="character" w:styleId="Strong">
    <w:name w:val="Strong"/>
    <w:basedOn w:val="DefaultParagraphFont"/>
    <w:uiPriority w:val="22"/>
    <w:qFormat/>
    <w:rsid w:val="002B2DCC"/>
    <w:rPr>
      <w:b/>
      <w:bCs/>
    </w:rPr>
  </w:style>
  <w:style w:type="character" w:styleId="Hyperlink">
    <w:name w:val="Hyperlink"/>
    <w:basedOn w:val="DefaultParagraphFont"/>
    <w:uiPriority w:val="99"/>
    <w:unhideWhenUsed/>
    <w:rsid w:val="00A668FE"/>
    <w:rPr>
      <w:strike w:val="0"/>
      <w:dstrike w:val="0"/>
      <w:color w:val="0000FF"/>
      <w:u w:val="single"/>
      <w:effect w:val="none"/>
    </w:rPr>
  </w:style>
  <w:style w:type="character" w:customStyle="1" w:styleId="ncitalic1">
    <w:name w:val="ncitalic1"/>
    <w:basedOn w:val="DefaultParagraphFont"/>
    <w:rsid w:val="00A668FE"/>
    <w:rPr>
      <w:i/>
      <w:iCs/>
      <w:color w:val="000000"/>
    </w:rPr>
  </w:style>
  <w:style w:type="character" w:customStyle="1" w:styleId="meta">
    <w:name w:val="meta"/>
    <w:basedOn w:val="DefaultParagraphFont"/>
    <w:rsid w:val="00AD42B7"/>
  </w:style>
  <w:style w:type="character" w:styleId="FollowedHyperlink">
    <w:name w:val="FollowedHyperlink"/>
    <w:basedOn w:val="DefaultParagraphFont"/>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basedOn w:val="DefaultParagraphFont"/>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basedOn w:val="DefaultParagraphFont"/>
    <w:rsid w:val="00331FE7"/>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basedOn w:val="CommentText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basedOn w:val="DefaultParagraphFont"/>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basedOn w:val="DefaultParagraphFont"/>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1Char">
    <w:name w:val="Heading 1 Char"/>
    <w:basedOn w:val="DefaultParagraphFont"/>
    <w:link w:val="Heading1"/>
    <w:uiPriority w:val="9"/>
    <w:rsid w:val="00D07445"/>
    <w:rPr>
      <w:rFonts w:cs="Calibri"/>
      <w:b/>
      <w:sz w:val="28"/>
      <w:szCs w:val="28"/>
    </w:rPr>
  </w:style>
  <w:style w:type="paragraph" w:styleId="Caption">
    <w:name w:val="caption"/>
    <w:basedOn w:val="Normal"/>
    <w:next w:val="Normal"/>
    <w:uiPriority w:val="35"/>
    <w:unhideWhenUsed/>
    <w:qFormat/>
    <w:rsid w:val="00D07445"/>
    <w:rPr>
      <w:b/>
      <w:bCs/>
      <w:sz w:val="20"/>
      <w:szCs w:val="20"/>
    </w:rPr>
  </w:style>
  <w:style w:type="character" w:customStyle="1" w:styleId="Heading2Char">
    <w:name w:val="Heading 2 Char"/>
    <w:basedOn w:val="DefaultParagraphFont"/>
    <w:link w:val="Heading2"/>
    <w:uiPriority w:val="9"/>
    <w:rsid w:val="00D07445"/>
    <w:rPr>
      <w:rFonts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05133451">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7FA0D-F300-4326-894F-1B9E8AB3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Traumatic Brain Injury Common Data Element Outcome Measure Recommendations</vt:lpstr>
    </vt:vector>
  </TitlesOfParts>
  <Company>Altarum Institute</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cp:keywords>
  <cp:lastModifiedBy>Andy Franklin</cp:lastModifiedBy>
  <cp:revision>3</cp:revision>
  <dcterms:created xsi:type="dcterms:W3CDTF">2014-05-15T15:49:00Z</dcterms:created>
  <dcterms:modified xsi:type="dcterms:W3CDTF">2014-05-15T15:54:00Z</dcterms:modified>
  <cp:category>CRF</cp:category>
  <cp:contentStatus>508 Compliant</cp:contentStatus>
</cp:coreProperties>
</file>