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6BA" w:rsidRPr="00A61021" w:rsidRDefault="003256BA" w:rsidP="00A61021">
      <w:pPr>
        <w:pStyle w:val="Heading1"/>
      </w:pPr>
      <w:r w:rsidRPr="00A61021">
        <w:t>Traumatic Brain Injury (TBI) Common Data Element (CDE)</w:t>
      </w:r>
    </w:p>
    <w:p w:rsidR="002C18AD" w:rsidRPr="00A61021" w:rsidRDefault="00DB0C27" w:rsidP="00A61021">
      <w:pPr>
        <w:pStyle w:val="Heading1"/>
      </w:pPr>
      <w:r w:rsidRPr="00A61021">
        <w:t>Outcome Measure Recommendations</w:t>
      </w:r>
    </w:p>
    <w:p w:rsidR="006A751D" w:rsidRPr="00A61021" w:rsidRDefault="005114AB" w:rsidP="00A61021">
      <w:pPr>
        <w:pStyle w:val="Heading1"/>
      </w:pPr>
      <w:r w:rsidRPr="00A61021">
        <w:t>Version 2.0</w:t>
      </w:r>
    </w:p>
    <w:p w:rsidR="00DB0C27" w:rsidRPr="005463F4" w:rsidRDefault="00DB0C27" w:rsidP="00C43DF6">
      <w:pPr>
        <w:pStyle w:val="Heading2"/>
      </w:pPr>
      <w:r w:rsidRPr="005463F4">
        <w:t xml:space="preserve">Outcome Domain: </w:t>
      </w:r>
    </w:p>
    <w:p w:rsidR="00DB0C27" w:rsidRPr="005463F4" w:rsidRDefault="00DB0C27" w:rsidP="00DB0C27">
      <w:pPr>
        <w:rPr>
          <w:rFonts w:cs="Calibri"/>
        </w:rPr>
      </w:pPr>
      <w:r w:rsidRPr="005463F4">
        <w:rPr>
          <w:rFonts w:cs="Calibri"/>
        </w:rPr>
        <w:t>Academics</w:t>
      </w:r>
    </w:p>
    <w:p w:rsidR="00DB0C27" w:rsidRPr="005463F4" w:rsidRDefault="00DB0C27" w:rsidP="00D43454">
      <w:pPr>
        <w:pStyle w:val="Heading3"/>
      </w:pPr>
      <w:r w:rsidRPr="005463F4">
        <w:t xml:space="preserve">Domain Description and Relevance in TBI: </w:t>
      </w:r>
    </w:p>
    <w:p w:rsidR="00DB0C27" w:rsidRPr="005463F4" w:rsidRDefault="000520AD" w:rsidP="00DB0C27">
      <w:pPr>
        <w:rPr>
          <w:rFonts w:cs="Calibri"/>
        </w:rPr>
      </w:pPr>
      <w:r>
        <w:rPr>
          <w:rFonts w:cs="Calibri"/>
        </w:rPr>
        <w:t>“</w:t>
      </w:r>
      <w:r w:rsidR="00DB0C27" w:rsidRPr="005463F4">
        <w:rPr>
          <w:rFonts w:cs="Calibri"/>
        </w:rPr>
        <w:t>Children with TBI have been found to have significant academic difficulties characterized by school failure and deficits in academic achievement such as reading, math, and written language.</w:t>
      </w:r>
      <w:r>
        <w:rPr>
          <w:rFonts w:cs="Calibri"/>
        </w:rPr>
        <w:t xml:space="preserve">” - </w:t>
      </w:r>
      <w:r w:rsidRPr="005463F4">
        <w:rPr>
          <w:rFonts w:cs="Calibri"/>
        </w:rPr>
        <w:t>McCauley et al. 2012</w:t>
      </w:r>
    </w:p>
    <w:p w:rsidR="00A61021" w:rsidRDefault="00A61021" w:rsidP="00A61021">
      <w:pPr>
        <w:pStyle w:val="Caption"/>
        <w:keepNext/>
      </w:pPr>
      <w:r>
        <w:t xml:space="preserve">Table </w:t>
      </w:r>
      <w:r w:rsidR="00C43DF6">
        <w:fldChar w:fldCharType="begin"/>
      </w:r>
      <w:r w:rsidR="00C43DF6">
        <w:instrText xml:space="preserve"> SEQ Table \* ARABIC </w:instrText>
      </w:r>
      <w:r w:rsidR="00C43DF6">
        <w:fldChar w:fldCharType="separate"/>
      </w:r>
      <w:r>
        <w:rPr>
          <w:noProof/>
        </w:rPr>
        <w:t>1</w:t>
      </w:r>
      <w:r w:rsidR="00C43DF6">
        <w:rPr>
          <w:noProof/>
        </w:rPr>
        <w:fldChar w:fldCharType="end"/>
      </w:r>
      <w:r>
        <w:t xml:space="preserve"> </w:t>
      </w:r>
      <w:r w:rsidRPr="00C37044">
        <w:t>CDE Classification by Type of TBI Study and Relevant Population for Recommended Academics Outcome Measures.</w:t>
      </w:r>
    </w:p>
    <w:tbl>
      <w:tblPr>
        <w:tblW w:w="9180" w:type="dxa"/>
        <w:tblInd w:w="108" w:type="dxa"/>
        <w:tblLayout w:type="fixed"/>
        <w:tblLook w:val="04A0" w:firstRow="1" w:lastRow="0" w:firstColumn="1" w:lastColumn="0" w:noHBand="0" w:noVBand="1"/>
      </w:tblPr>
      <w:tblGrid>
        <w:gridCol w:w="1890"/>
        <w:gridCol w:w="1170"/>
        <w:gridCol w:w="1530"/>
        <w:gridCol w:w="1530"/>
        <w:gridCol w:w="1530"/>
        <w:gridCol w:w="1530"/>
      </w:tblGrid>
      <w:tr w:rsidR="003D59B6" w:rsidRPr="005463F4" w:rsidTr="00A61021">
        <w:trPr>
          <w:trHeight w:val="600"/>
          <w:tblHeader/>
        </w:trPr>
        <w:tc>
          <w:tcPr>
            <w:tcW w:w="1890" w:type="dxa"/>
            <w:tcBorders>
              <w:top w:val="single" w:sz="4" w:space="0" w:color="auto"/>
              <w:left w:val="single" w:sz="4" w:space="0" w:color="auto"/>
              <w:bottom w:val="single" w:sz="4" w:space="0" w:color="auto"/>
              <w:right w:val="single" w:sz="4" w:space="0" w:color="auto"/>
            </w:tcBorders>
            <w:shd w:val="clear" w:color="000000" w:fill="FFFFFF"/>
            <w:hideMark/>
          </w:tcPr>
          <w:p w:rsidR="003D59B6" w:rsidRPr="00A61021" w:rsidRDefault="003D59B6" w:rsidP="003D59B6">
            <w:pPr>
              <w:spacing w:after="0" w:line="240" w:lineRule="auto"/>
              <w:jc w:val="center"/>
              <w:rPr>
                <w:rFonts w:eastAsia="Times New Roman" w:cs="Calibri"/>
                <w:bCs/>
                <w:sz w:val="20"/>
                <w:szCs w:val="20"/>
              </w:rPr>
            </w:pPr>
            <w:r w:rsidRPr="00A61021">
              <w:rPr>
                <w:rFonts w:eastAsia="Times New Roman" w:cs="Calibri"/>
                <w:bCs/>
                <w:sz w:val="20"/>
                <w:szCs w:val="20"/>
              </w:rPr>
              <w:t>Outcome Measure Name</w:t>
            </w:r>
          </w:p>
        </w:tc>
        <w:tc>
          <w:tcPr>
            <w:tcW w:w="1170" w:type="dxa"/>
            <w:tcBorders>
              <w:top w:val="single" w:sz="4" w:space="0" w:color="auto"/>
              <w:left w:val="nil"/>
              <w:bottom w:val="single" w:sz="4" w:space="0" w:color="auto"/>
              <w:right w:val="single" w:sz="4" w:space="0" w:color="auto"/>
            </w:tcBorders>
            <w:shd w:val="clear" w:color="000000" w:fill="FFFFFF"/>
            <w:hideMark/>
          </w:tcPr>
          <w:p w:rsidR="003D59B6" w:rsidRPr="00A61021" w:rsidRDefault="003D59B6" w:rsidP="003D59B6">
            <w:pPr>
              <w:spacing w:after="0" w:line="240" w:lineRule="auto"/>
              <w:jc w:val="center"/>
              <w:rPr>
                <w:rFonts w:eastAsia="Times New Roman" w:cs="Calibri"/>
                <w:bCs/>
                <w:sz w:val="20"/>
                <w:szCs w:val="20"/>
              </w:rPr>
            </w:pPr>
            <w:r w:rsidRPr="00A61021">
              <w:rPr>
                <w:rFonts w:eastAsia="Times New Roman" w:cs="Calibri"/>
                <w:bCs/>
                <w:sz w:val="20"/>
                <w:szCs w:val="20"/>
              </w:rPr>
              <w:t>Relevant TBI Population</w:t>
            </w:r>
          </w:p>
        </w:tc>
        <w:tc>
          <w:tcPr>
            <w:tcW w:w="1530" w:type="dxa"/>
            <w:tcBorders>
              <w:top w:val="single" w:sz="4" w:space="0" w:color="auto"/>
              <w:left w:val="nil"/>
              <w:bottom w:val="single" w:sz="4" w:space="0" w:color="auto"/>
              <w:right w:val="single" w:sz="4" w:space="0" w:color="auto"/>
            </w:tcBorders>
            <w:shd w:val="clear" w:color="000000" w:fill="FFFFFF"/>
            <w:hideMark/>
          </w:tcPr>
          <w:p w:rsidR="003D59B6" w:rsidRPr="00A61021" w:rsidRDefault="003D59B6" w:rsidP="003D59B6">
            <w:pPr>
              <w:spacing w:after="0" w:line="240" w:lineRule="auto"/>
              <w:jc w:val="center"/>
              <w:rPr>
                <w:rFonts w:eastAsia="Times New Roman" w:cs="Calibri"/>
                <w:bCs/>
                <w:sz w:val="20"/>
                <w:szCs w:val="20"/>
              </w:rPr>
            </w:pPr>
            <w:r w:rsidRPr="00A61021">
              <w:rPr>
                <w:rFonts w:eastAsia="Times New Roman" w:cs="Calibri"/>
                <w:bCs/>
                <w:sz w:val="20"/>
                <w:szCs w:val="20"/>
              </w:rPr>
              <w:t>Acute Hospitalized</w:t>
            </w:r>
          </w:p>
        </w:tc>
        <w:tc>
          <w:tcPr>
            <w:tcW w:w="1530" w:type="dxa"/>
            <w:tcBorders>
              <w:top w:val="single" w:sz="4" w:space="0" w:color="auto"/>
              <w:left w:val="nil"/>
              <w:bottom w:val="single" w:sz="4" w:space="0" w:color="auto"/>
              <w:right w:val="single" w:sz="4" w:space="0" w:color="auto"/>
            </w:tcBorders>
            <w:shd w:val="clear" w:color="000000" w:fill="FFFFFF"/>
            <w:hideMark/>
          </w:tcPr>
          <w:p w:rsidR="003D59B6" w:rsidRPr="00A61021" w:rsidRDefault="003D59B6" w:rsidP="003D59B6">
            <w:pPr>
              <w:spacing w:after="0" w:line="240" w:lineRule="auto"/>
              <w:jc w:val="center"/>
              <w:rPr>
                <w:rFonts w:eastAsia="Times New Roman" w:cs="Calibri"/>
                <w:bCs/>
                <w:sz w:val="20"/>
                <w:szCs w:val="20"/>
              </w:rPr>
            </w:pPr>
            <w:r w:rsidRPr="00A61021">
              <w:rPr>
                <w:rFonts w:eastAsia="Times New Roman" w:cs="Calibri"/>
                <w:bCs/>
                <w:sz w:val="20"/>
                <w:szCs w:val="20"/>
              </w:rPr>
              <w:t>Moderate/ Severe Rehabilitation</w:t>
            </w:r>
          </w:p>
        </w:tc>
        <w:tc>
          <w:tcPr>
            <w:tcW w:w="1530" w:type="dxa"/>
            <w:tcBorders>
              <w:top w:val="single" w:sz="4" w:space="0" w:color="auto"/>
              <w:left w:val="nil"/>
              <w:bottom w:val="single" w:sz="4" w:space="0" w:color="auto"/>
              <w:right w:val="single" w:sz="4" w:space="0" w:color="auto"/>
            </w:tcBorders>
            <w:shd w:val="clear" w:color="000000" w:fill="FFFFFF"/>
          </w:tcPr>
          <w:p w:rsidR="003D59B6" w:rsidRPr="00A61021" w:rsidRDefault="003D59B6" w:rsidP="00B652AB">
            <w:pPr>
              <w:spacing w:after="0" w:line="240" w:lineRule="auto"/>
              <w:jc w:val="center"/>
              <w:rPr>
                <w:rFonts w:eastAsia="Times New Roman" w:cs="Calibri"/>
                <w:bCs/>
                <w:sz w:val="20"/>
                <w:szCs w:val="20"/>
              </w:rPr>
            </w:pPr>
            <w:r w:rsidRPr="00A61021">
              <w:rPr>
                <w:rFonts w:eastAsia="Times New Roman" w:cs="Calibri"/>
                <w:bCs/>
                <w:sz w:val="20"/>
                <w:szCs w:val="20"/>
              </w:rPr>
              <w:t>Concussion/ Mild TBI</w:t>
            </w:r>
          </w:p>
        </w:tc>
        <w:tc>
          <w:tcPr>
            <w:tcW w:w="1530" w:type="dxa"/>
            <w:tcBorders>
              <w:top w:val="single" w:sz="4" w:space="0" w:color="auto"/>
              <w:left w:val="single" w:sz="4" w:space="0" w:color="auto"/>
              <w:bottom w:val="single" w:sz="4" w:space="0" w:color="auto"/>
              <w:right w:val="single" w:sz="4" w:space="0" w:color="auto"/>
            </w:tcBorders>
            <w:shd w:val="clear" w:color="000000" w:fill="FFFFFF"/>
            <w:hideMark/>
          </w:tcPr>
          <w:p w:rsidR="003D59B6" w:rsidRPr="00A61021" w:rsidRDefault="003D59B6" w:rsidP="003D59B6">
            <w:pPr>
              <w:spacing w:after="0" w:line="240" w:lineRule="auto"/>
              <w:jc w:val="center"/>
              <w:rPr>
                <w:rFonts w:eastAsia="Times New Roman" w:cs="Calibri"/>
                <w:bCs/>
                <w:sz w:val="20"/>
                <w:szCs w:val="20"/>
              </w:rPr>
            </w:pPr>
            <w:r w:rsidRPr="00A61021">
              <w:rPr>
                <w:rFonts w:eastAsia="Times New Roman" w:cs="Calibri"/>
                <w:bCs/>
                <w:sz w:val="20"/>
                <w:szCs w:val="20"/>
              </w:rPr>
              <w:t>Epidemiology</w:t>
            </w:r>
          </w:p>
        </w:tc>
      </w:tr>
      <w:tr w:rsidR="003D59B6" w:rsidRPr="005463F4" w:rsidTr="005463F4">
        <w:trPr>
          <w:trHeight w:val="600"/>
        </w:trPr>
        <w:tc>
          <w:tcPr>
            <w:tcW w:w="1890" w:type="dxa"/>
            <w:tcBorders>
              <w:top w:val="nil"/>
              <w:left w:val="single" w:sz="4" w:space="0" w:color="auto"/>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Child Behavior Checklist</w:t>
            </w:r>
            <w:r w:rsidR="005463F4">
              <w:rPr>
                <w:rFonts w:eastAsia="Times New Roman" w:cs="Calibri"/>
                <w:sz w:val="20"/>
                <w:szCs w:val="20"/>
              </w:rPr>
              <w:t xml:space="preserve"> (CBCL)</w:t>
            </w:r>
            <w:r w:rsidRPr="005463F4">
              <w:rPr>
                <w:rFonts w:eastAsia="Times New Roman" w:cs="Calibri"/>
                <w:sz w:val="20"/>
                <w:szCs w:val="20"/>
              </w:rPr>
              <w:t>, School Competence scale</w:t>
            </w:r>
          </w:p>
        </w:tc>
        <w:tc>
          <w:tcPr>
            <w:tcW w:w="117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 xml:space="preserve">Pediatric </w:t>
            </w:r>
          </w:p>
        </w:tc>
        <w:tc>
          <w:tcPr>
            <w:tcW w:w="153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3D59B6" w:rsidRPr="005463F4" w:rsidRDefault="003D59B6" w:rsidP="00B652AB">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nil"/>
              <w:left w:val="single" w:sz="4" w:space="0" w:color="auto"/>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r>
      <w:tr w:rsidR="003D59B6" w:rsidRPr="005463F4" w:rsidTr="005463F4">
        <w:trPr>
          <w:trHeight w:val="900"/>
        </w:trPr>
        <w:tc>
          <w:tcPr>
            <w:tcW w:w="1890" w:type="dxa"/>
            <w:tcBorders>
              <w:top w:val="nil"/>
              <w:left w:val="single" w:sz="4" w:space="0" w:color="auto"/>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Comprehensive Test of Phonological Processing (CTOPP)</w:t>
            </w:r>
          </w:p>
        </w:tc>
        <w:tc>
          <w:tcPr>
            <w:tcW w:w="117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 xml:space="preserve">Pediatric </w:t>
            </w:r>
          </w:p>
        </w:tc>
        <w:tc>
          <w:tcPr>
            <w:tcW w:w="153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3D59B6" w:rsidRPr="005463F4" w:rsidRDefault="003D59B6" w:rsidP="00B652AB">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nil"/>
              <w:left w:val="single" w:sz="4" w:space="0" w:color="auto"/>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r>
      <w:tr w:rsidR="003D59B6" w:rsidRPr="005463F4" w:rsidTr="005463F4">
        <w:trPr>
          <w:trHeight w:val="600"/>
        </w:trPr>
        <w:tc>
          <w:tcPr>
            <w:tcW w:w="1890" w:type="dxa"/>
            <w:tcBorders>
              <w:top w:val="nil"/>
              <w:left w:val="single" w:sz="4" w:space="0" w:color="auto"/>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Gray Oral Reading Test, 4th Edition (GORT-4)</w:t>
            </w:r>
          </w:p>
        </w:tc>
        <w:tc>
          <w:tcPr>
            <w:tcW w:w="117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 xml:space="preserve">Pediatric </w:t>
            </w:r>
          </w:p>
        </w:tc>
        <w:tc>
          <w:tcPr>
            <w:tcW w:w="153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3D59B6" w:rsidRPr="005463F4" w:rsidRDefault="003D59B6" w:rsidP="00B652AB">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nil"/>
              <w:left w:val="single" w:sz="4" w:space="0" w:color="auto"/>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r>
      <w:tr w:rsidR="003D59B6" w:rsidRPr="005463F4" w:rsidTr="005463F4">
        <w:trPr>
          <w:trHeight w:val="600"/>
        </w:trPr>
        <w:tc>
          <w:tcPr>
            <w:tcW w:w="1890" w:type="dxa"/>
            <w:tcBorders>
              <w:top w:val="nil"/>
              <w:left w:val="single" w:sz="4" w:space="0" w:color="auto"/>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KeyMath-3 Diagnostic Assessment</w:t>
            </w:r>
          </w:p>
        </w:tc>
        <w:tc>
          <w:tcPr>
            <w:tcW w:w="117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 xml:space="preserve">Pediatric </w:t>
            </w:r>
          </w:p>
        </w:tc>
        <w:tc>
          <w:tcPr>
            <w:tcW w:w="153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3D59B6" w:rsidRPr="005463F4" w:rsidRDefault="003D59B6" w:rsidP="00B652AB">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nil"/>
              <w:left w:val="single" w:sz="4" w:space="0" w:color="auto"/>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r>
      <w:tr w:rsidR="003D59B6" w:rsidRPr="005463F4" w:rsidTr="005463F4">
        <w:trPr>
          <w:trHeight w:val="600"/>
        </w:trPr>
        <w:tc>
          <w:tcPr>
            <w:tcW w:w="1890" w:type="dxa"/>
            <w:tcBorders>
              <w:top w:val="nil"/>
              <w:left w:val="single" w:sz="4" w:space="0" w:color="auto"/>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Test of Word Reading Efficiency (TOWRE)</w:t>
            </w:r>
          </w:p>
        </w:tc>
        <w:tc>
          <w:tcPr>
            <w:tcW w:w="1170" w:type="dxa"/>
            <w:tcBorders>
              <w:top w:val="nil"/>
              <w:left w:val="nil"/>
              <w:bottom w:val="single" w:sz="4" w:space="0" w:color="auto"/>
              <w:right w:val="single" w:sz="4" w:space="0" w:color="auto"/>
            </w:tcBorders>
            <w:shd w:val="clear" w:color="000000" w:fill="FFFFFF"/>
            <w:hideMark/>
          </w:tcPr>
          <w:p w:rsidR="003D59B6" w:rsidRPr="005463F4" w:rsidRDefault="00A61021" w:rsidP="00A61021">
            <w:pPr>
              <w:spacing w:after="0" w:line="240" w:lineRule="auto"/>
              <w:rPr>
                <w:rFonts w:eastAsia="Times New Roman" w:cs="Calibri"/>
                <w:sz w:val="20"/>
                <w:szCs w:val="20"/>
              </w:rPr>
            </w:pPr>
            <w:r>
              <w:rPr>
                <w:rFonts w:eastAsia="Times New Roman" w:cs="Calibri"/>
                <w:sz w:val="20"/>
                <w:szCs w:val="20"/>
              </w:rPr>
              <w:t xml:space="preserve">Pediatric </w:t>
            </w:r>
          </w:p>
        </w:tc>
        <w:tc>
          <w:tcPr>
            <w:tcW w:w="153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3D59B6" w:rsidRPr="005463F4" w:rsidRDefault="003D59B6" w:rsidP="00B652AB">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nil"/>
              <w:left w:val="single" w:sz="4" w:space="0" w:color="auto"/>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r>
      <w:tr w:rsidR="003D59B6" w:rsidRPr="005463F4" w:rsidTr="005463F4">
        <w:trPr>
          <w:trHeight w:val="900"/>
        </w:trPr>
        <w:tc>
          <w:tcPr>
            <w:tcW w:w="1890" w:type="dxa"/>
            <w:tcBorders>
              <w:top w:val="nil"/>
              <w:left w:val="single" w:sz="4" w:space="0" w:color="auto"/>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color w:val="000000"/>
                <w:sz w:val="20"/>
                <w:szCs w:val="20"/>
              </w:rPr>
            </w:pPr>
            <w:r w:rsidRPr="005463F4">
              <w:rPr>
                <w:rFonts w:eastAsia="Times New Roman" w:cs="Calibri"/>
                <w:color w:val="000000"/>
                <w:sz w:val="20"/>
                <w:szCs w:val="20"/>
              </w:rPr>
              <w:t>Woodcock-Johnson, 3rd Edition (WJ-III); Achievement Tests</w:t>
            </w:r>
          </w:p>
        </w:tc>
        <w:tc>
          <w:tcPr>
            <w:tcW w:w="117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 xml:space="preserve">Pediatric </w:t>
            </w:r>
          </w:p>
        </w:tc>
        <w:tc>
          <w:tcPr>
            <w:tcW w:w="153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nil"/>
              <w:left w:val="nil"/>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single" w:sz="4" w:space="0" w:color="auto"/>
              <w:left w:val="nil"/>
              <w:bottom w:val="single" w:sz="4" w:space="0" w:color="auto"/>
              <w:right w:val="single" w:sz="4" w:space="0" w:color="auto"/>
            </w:tcBorders>
            <w:shd w:val="clear" w:color="000000" w:fill="FFFFFF"/>
          </w:tcPr>
          <w:p w:rsidR="003D59B6" w:rsidRPr="005463F4" w:rsidRDefault="003D59B6" w:rsidP="00B652AB">
            <w:pPr>
              <w:spacing w:after="0" w:line="240" w:lineRule="auto"/>
              <w:rPr>
                <w:rFonts w:eastAsia="Times New Roman" w:cs="Calibri"/>
                <w:sz w:val="20"/>
                <w:szCs w:val="20"/>
              </w:rPr>
            </w:pPr>
            <w:r w:rsidRPr="005463F4">
              <w:rPr>
                <w:rFonts w:eastAsia="Times New Roman" w:cs="Calibri"/>
                <w:sz w:val="20"/>
                <w:szCs w:val="20"/>
              </w:rPr>
              <w:t>Supplemental</w:t>
            </w:r>
          </w:p>
        </w:tc>
        <w:tc>
          <w:tcPr>
            <w:tcW w:w="1530" w:type="dxa"/>
            <w:tcBorders>
              <w:top w:val="nil"/>
              <w:left w:val="single" w:sz="4" w:space="0" w:color="auto"/>
              <w:bottom w:val="single" w:sz="4" w:space="0" w:color="auto"/>
              <w:right w:val="single" w:sz="4" w:space="0" w:color="auto"/>
            </w:tcBorders>
            <w:shd w:val="clear" w:color="000000" w:fill="FFFFFF"/>
            <w:hideMark/>
          </w:tcPr>
          <w:p w:rsidR="003D59B6" w:rsidRPr="005463F4" w:rsidRDefault="003D59B6" w:rsidP="003D59B6">
            <w:pPr>
              <w:spacing w:after="0" w:line="240" w:lineRule="auto"/>
              <w:rPr>
                <w:rFonts w:eastAsia="Times New Roman" w:cs="Calibri"/>
                <w:sz w:val="20"/>
                <w:szCs w:val="20"/>
              </w:rPr>
            </w:pPr>
            <w:r w:rsidRPr="005463F4">
              <w:rPr>
                <w:rFonts w:eastAsia="Times New Roman" w:cs="Calibri"/>
                <w:sz w:val="20"/>
                <w:szCs w:val="20"/>
              </w:rPr>
              <w:t>Supplemental</w:t>
            </w:r>
          </w:p>
        </w:tc>
      </w:tr>
    </w:tbl>
    <w:p w:rsidR="00DB0C27" w:rsidRPr="005463F4" w:rsidRDefault="00DB0C27" w:rsidP="00D43454">
      <w:pPr>
        <w:pStyle w:val="Heading3"/>
      </w:pPr>
      <w:bookmarkStart w:id="0" w:name="_GoBack"/>
      <w:bookmarkEnd w:id="0"/>
      <w:r w:rsidRPr="005463F4">
        <w:t>References</w:t>
      </w:r>
    </w:p>
    <w:p w:rsidR="005463F4" w:rsidRDefault="00DB0C27" w:rsidP="00DB0C27">
      <w:pPr>
        <w:rPr>
          <w:rFonts w:cs="Calibri"/>
        </w:rPr>
      </w:pPr>
      <w:r w:rsidRPr="005463F4">
        <w:rPr>
          <w:rFonts w:cs="Calibri"/>
        </w:rPr>
        <w:t>McCauley SR, Wilde EA, Anderson VA, Bedell G, Beers SR, Campbell TF, Chapman SB, Ewing-Cobbs L, Gerring JP, Gioia GA, Levin HS, Michaud LJ, Prasad MR, Swaine BR, Turkstra LS, Wade SL, Yeates KO. Recommendations for the Use of Common Outcome Measures in Pediatric Traumatic Brain Injury Research. J Neurotrauma. 2012 March; 29: 678-705. PubMed PMID: 21644810.</w:t>
      </w:r>
    </w:p>
    <w:p w:rsidR="0089414D" w:rsidRPr="00F86498" w:rsidRDefault="00140195" w:rsidP="00F86498">
      <w:pPr>
        <w:pStyle w:val="Heading2"/>
      </w:pPr>
      <w:r w:rsidRPr="00F86498">
        <w:t>Child Behavior Checklist</w:t>
      </w:r>
      <w:r w:rsidR="005463F4" w:rsidRPr="00F86498">
        <w:t xml:space="preserve"> (CBCL)</w:t>
      </w:r>
      <w:r w:rsidRPr="00F86498">
        <w:t xml:space="preserve">, School Competence Scale </w:t>
      </w:r>
    </w:p>
    <w:p w:rsidR="0089414D" w:rsidRPr="00F86498" w:rsidRDefault="0089414D" w:rsidP="00F86498">
      <w:pPr>
        <w:pStyle w:val="Heading3"/>
      </w:pPr>
      <w:r w:rsidRPr="00F86498">
        <w:lastRenderedPageBreak/>
        <w:t>DESCRIPTION</w:t>
      </w:r>
    </w:p>
    <w:p w:rsidR="00386007" w:rsidRPr="005463F4" w:rsidRDefault="00386007" w:rsidP="0089414D">
      <w:pPr>
        <w:spacing w:after="120"/>
        <w:rPr>
          <w:rFonts w:cs="Calibri"/>
        </w:rPr>
      </w:pPr>
      <w:r w:rsidRPr="005463F4">
        <w:rPr>
          <w:rFonts w:cs="Calibri"/>
        </w:rPr>
        <w:t>The Child Behavior Checklist</w:t>
      </w:r>
      <w:r w:rsidR="00235B09" w:rsidRPr="005463F4">
        <w:rPr>
          <w:rFonts w:cs="Calibri"/>
        </w:rPr>
        <w:t xml:space="preserve"> </w:t>
      </w:r>
      <w:r w:rsidR="00DD6BA1" w:rsidRPr="005463F4">
        <w:rPr>
          <w:rFonts w:cs="Calibri"/>
        </w:rPr>
        <w:t>measures a child’s co</w:t>
      </w:r>
      <w:r w:rsidR="00CE74F6" w:rsidRPr="005463F4">
        <w:rPr>
          <w:rFonts w:cs="Calibri"/>
        </w:rPr>
        <w:t>mpetencies by using their</w:t>
      </w:r>
      <w:r w:rsidR="00DD6BA1" w:rsidRPr="005463F4">
        <w:rPr>
          <w:rFonts w:cs="Calibri"/>
        </w:rPr>
        <w:t xml:space="preserve"> </w:t>
      </w:r>
      <w:r w:rsidRPr="005463F4">
        <w:rPr>
          <w:rFonts w:cs="Calibri"/>
        </w:rPr>
        <w:t>pare</w:t>
      </w:r>
      <w:r w:rsidR="00CE74F6" w:rsidRPr="005463F4">
        <w:rPr>
          <w:rFonts w:cs="Calibri"/>
        </w:rPr>
        <w:t>nt’s perception of their</w:t>
      </w:r>
      <w:r w:rsidRPr="005463F4">
        <w:rPr>
          <w:rFonts w:cs="Calibri"/>
        </w:rPr>
        <w:t xml:space="preserve"> performance on three scales, which include activities, social and school. </w:t>
      </w:r>
      <w:r w:rsidR="00235B09" w:rsidRPr="005463F4">
        <w:rPr>
          <w:rFonts w:cs="Calibri"/>
        </w:rPr>
        <w:t>Separate forms for ages 1.5 to 5 years and 6 to 18 years, as well as separate forms to be filled out by the parent/caregiver or teacher, are available. Scores for three competence scales and a total competence score can be computed.</w:t>
      </w:r>
    </w:p>
    <w:p w:rsidR="0089414D" w:rsidRPr="005463F4" w:rsidRDefault="0089414D" w:rsidP="00F86498">
      <w:pPr>
        <w:pStyle w:val="Heading3"/>
      </w:pPr>
      <w:r w:rsidRPr="005463F4">
        <w:t xml:space="preserve">PERMISSIBLE VALUES </w:t>
      </w:r>
    </w:p>
    <w:p w:rsidR="00FD6879" w:rsidRPr="005463F4" w:rsidRDefault="00386007" w:rsidP="00FD6879">
      <w:pPr>
        <w:spacing w:after="120"/>
        <w:rPr>
          <w:rFonts w:cs="Calibri"/>
        </w:rPr>
      </w:pPr>
      <w:r w:rsidRPr="005463F4">
        <w:rPr>
          <w:rFonts w:cs="Calibri"/>
        </w:rPr>
        <w:t xml:space="preserve">Raw scores, </w:t>
      </w:r>
      <w:r w:rsidRPr="005463F4">
        <w:rPr>
          <w:rFonts w:cs="Calibri"/>
          <w:i/>
        </w:rPr>
        <w:t>t</w:t>
      </w:r>
      <w:r w:rsidR="00140195" w:rsidRPr="005463F4">
        <w:rPr>
          <w:rFonts w:cs="Calibri"/>
        </w:rPr>
        <w:t xml:space="preserve"> score</w:t>
      </w:r>
      <w:r w:rsidRPr="005463F4">
        <w:rPr>
          <w:rFonts w:cs="Calibri"/>
        </w:rPr>
        <w:t>s (M=50, SD=10)</w:t>
      </w:r>
      <w:r w:rsidR="00140195" w:rsidRPr="005463F4">
        <w:rPr>
          <w:rFonts w:cs="Calibri"/>
        </w:rPr>
        <w:t xml:space="preserve">, and percentiles are given based on test results. </w:t>
      </w:r>
      <w:r w:rsidRPr="005463F4">
        <w:rPr>
          <w:rFonts w:cs="Calibri"/>
        </w:rPr>
        <w:t>The value of</w:t>
      </w:r>
      <w:r w:rsidRPr="005463F4">
        <w:rPr>
          <w:rFonts w:cs="Calibri"/>
          <w:i/>
        </w:rPr>
        <w:t xml:space="preserve"> t</w:t>
      </w:r>
      <w:r w:rsidRPr="005463F4">
        <w:rPr>
          <w:rFonts w:cs="Calibri"/>
        </w:rPr>
        <w:t xml:space="preserve"> scores for each range varies depending on the scale; in some scales higher</w:t>
      </w:r>
      <w:r w:rsidRPr="005463F4">
        <w:rPr>
          <w:rFonts w:cs="Calibri"/>
          <w:i/>
        </w:rPr>
        <w:t xml:space="preserve"> t</w:t>
      </w:r>
      <w:r w:rsidRPr="005463F4">
        <w:rPr>
          <w:rFonts w:cs="Calibri"/>
        </w:rPr>
        <w:t xml:space="preserve"> scores are associated with normal functioning and on others lower </w:t>
      </w:r>
      <w:r w:rsidRPr="005463F4">
        <w:rPr>
          <w:rFonts w:cs="Calibri"/>
          <w:i/>
        </w:rPr>
        <w:t>t</w:t>
      </w:r>
      <w:r w:rsidRPr="005463F4">
        <w:rPr>
          <w:rFonts w:cs="Calibri"/>
        </w:rPr>
        <w:t xml:space="preserve"> scores are assoc</w:t>
      </w:r>
      <w:r w:rsidR="00A61021">
        <w:rPr>
          <w:rFonts w:cs="Calibri"/>
        </w:rPr>
        <w:t xml:space="preserve">iated with normal functioning. </w:t>
      </w:r>
    </w:p>
    <w:p w:rsidR="0089414D" w:rsidRPr="005463F4" w:rsidRDefault="0089414D" w:rsidP="00F86498">
      <w:pPr>
        <w:pStyle w:val="Heading3"/>
      </w:pPr>
      <w:r w:rsidRPr="005463F4">
        <w:t xml:space="preserve">PROCEDURES </w:t>
      </w:r>
    </w:p>
    <w:p w:rsidR="00140195" w:rsidRPr="005463F4" w:rsidRDefault="00140195" w:rsidP="0089414D">
      <w:pPr>
        <w:spacing w:after="120"/>
        <w:rPr>
          <w:rFonts w:cs="Calibri"/>
        </w:rPr>
      </w:pPr>
      <w:r w:rsidRPr="005463F4">
        <w:rPr>
          <w:rFonts w:cs="Calibri"/>
        </w:rPr>
        <w:t>The CBCL can be completed independently by the caregiver or administered by a professional familiar with the CBCL manual. Test can be completed by paper/pencil, online, or on a scannable form. The entire test, which includes the s</w:t>
      </w:r>
      <w:r w:rsidR="00897876" w:rsidRPr="005463F4">
        <w:rPr>
          <w:rFonts w:cs="Calibri"/>
        </w:rPr>
        <w:t>chool competence scale, lasts approximately 25-30 minutes</w:t>
      </w:r>
      <w:r w:rsidRPr="005463F4">
        <w:rPr>
          <w:rFonts w:cs="Calibri"/>
        </w:rPr>
        <w:t xml:space="preserve">. Skills commensurate with at least </w:t>
      </w:r>
      <w:r w:rsidR="00622D88">
        <w:rPr>
          <w:rFonts w:cs="Calibri"/>
        </w:rPr>
        <w:t>a</w:t>
      </w:r>
      <w:r w:rsidRPr="005463F4">
        <w:rPr>
          <w:rFonts w:cs="Calibri"/>
        </w:rPr>
        <w:t xml:space="preserve"> </w:t>
      </w:r>
      <w:r w:rsidR="005757F7" w:rsidRPr="005463F4">
        <w:rPr>
          <w:rFonts w:cs="Calibri"/>
        </w:rPr>
        <w:t>Master’s</w:t>
      </w:r>
      <w:r w:rsidR="004A01CD" w:rsidRPr="005463F4">
        <w:rPr>
          <w:rFonts w:cs="Calibri"/>
        </w:rPr>
        <w:t xml:space="preserve"> </w:t>
      </w:r>
      <w:r w:rsidRPr="005463F4">
        <w:rPr>
          <w:rFonts w:cs="Calibri"/>
        </w:rPr>
        <w:t xml:space="preserve">degree level in psychology, social work, or special </w:t>
      </w:r>
      <w:r w:rsidR="00622D88">
        <w:rPr>
          <w:rFonts w:cs="Calibri"/>
        </w:rPr>
        <w:t xml:space="preserve">education </w:t>
      </w:r>
      <w:r w:rsidRPr="005463F4">
        <w:rPr>
          <w:rFonts w:cs="Calibri"/>
        </w:rPr>
        <w:t>are recommended for interpretation.</w:t>
      </w:r>
      <w:r w:rsidR="00897876" w:rsidRPr="005463F4">
        <w:rPr>
          <w:rFonts w:cs="Calibri"/>
        </w:rPr>
        <w:t xml:space="preserve"> </w:t>
      </w:r>
    </w:p>
    <w:p w:rsidR="0089414D" w:rsidRPr="005463F4" w:rsidRDefault="0089414D" w:rsidP="00F86498">
      <w:pPr>
        <w:pStyle w:val="Heading3"/>
      </w:pPr>
      <w:r w:rsidRPr="005463F4">
        <w:t>COMMENTS</w:t>
      </w:r>
    </w:p>
    <w:p w:rsidR="0032333B" w:rsidRPr="005463F4" w:rsidRDefault="00720326" w:rsidP="0089414D">
      <w:pPr>
        <w:spacing w:after="120"/>
        <w:rPr>
          <w:rFonts w:cs="Calibri"/>
          <w:b/>
        </w:rPr>
      </w:pPr>
      <w:r w:rsidRPr="005463F4">
        <w:rPr>
          <w:rFonts w:cs="Calibri"/>
        </w:rPr>
        <w:t>The CBCL has two sets of forms, for ages 1.5 to 5 and ages 6 to 18.</w:t>
      </w:r>
    </w:p>
    <w:p w:rsidR="0089414D" w:rsidRPr="005463F4" w:rsidRDefault="0089414D" w:rsidP="00F86498">
      <w:pPr>
        <w:pStyle w:val="Heading3"/>
      </w:pPr>
      <w:r w:rsidRPr="005463F4">
        <w:t>RATIONALE</w:t>
      </w:r>
    </w:p>
    <w:p w:rsidR="00140195" w:rsidRPr="005463F4" w:rsidRDefault="00E8578C" w:rsidP="0089414D">
      <w:pPr>
        <w:spacing w:after="120"/>
        <w:rPr>
          <w:rFonts w:cs="Calibri"/>
        </w:rPr>
      </w:pPr>
      <w:r w:rsidRPr="005463F4">
        <w:rPr>
          <w:rFonts w:cs="Calibri"/>
        </w:rPr>
        <w:t>“The CBCL School Competence subscale asks parents to rate their child’s performance in several academic subjects from failing to above average, and children with TBI have been rated as having lower academic performance than typically developing children.” - McCauley et al. 2012</w:t>
      </w:r>
    </w:p>
    <w:p w:rsidR="00FD6879" w:rsidRPr="005463F4" w:rsidRDefault="00A61021" w:rsidP="00F86498">
      <w:pPr>
        <w:pStyle w:val="Heading3"/>
      </w:pPr>
      <w:r>
        <w:t>REFERENCES</w:t>
      </w:r>
    </w:p>
    <w:p w:rsidR="00140195" w:rsidRPr="005463F4" w:rsidRDefault="00140195" w:rsidP="00140195">
      <w:pPr>
        <w:spacing w:after="120"/>
        <w:rPr>
          <w:rFonts w:cs="Calibri"/>
        </w:rPr>
      </w:pPr>
      <w:r w:rsidRPr="005463F4">
        <w:rPr>
          <w:rFonts w:cs="Calibri"/>
        </w:rPr>
        <w:t>Achenbach, T. (1991). Manual for Child Behavior Checklist/ 4-18 and 1991 Profile. University of Vermont, Dept. of Psychiatry: Burlington, VT.</w:t>
      </w:r>
    </w:p>
    <w:p w:rsidR="00140195" w:rsidRPr="005463F4" w:rsidRDefault="00140195" w:rsidP="00140195">
      <w:pPr>
        <w:spacing w:after="120"/>
        <w:rPr>
          <w:rFonts w:cs="Calibri"/>
        </w:rPr>
      </w:pPr>
      <w:r w:rsidRPr="005463F4">
        <w:rPr>
          <w:rFonts w:cs="Calibri"/>
        </w:rPr>
        <w:t>Ewing-Cobbs, L., Barnes, M., Fletcher, J., Levin, H., Swank, P., and Song, J. (2004). Modeling of longitudinal academic achievement scores after pediatric traumatic brain injury. Dev Neuropsychol 25(1-2), 107-133.</w:t>
      </w:r>
    </w:p>
    <w:p w:rsidR="0089414D" w:rsidRPr="005463F4" w:rsidRDefault="00140195" w:rsidP="00140195">
      <w:pPr>
        <w:spacing w:after="120"/>
        <w:rPr>
          <w:rFonts w:cs="Calibri"/>
        </w:rPr>
      </w:pPr>
      <w:r w:rsidRPr="005463F4">
        <w:rPr>
          <w:rFonts w:cs="Calibri"/>
        </w:rPr>
        <w:t>Fletcher, J., Ewing-Cobbs, L., Miner, M., Levin, H., and Eisenberg, H. (1990). Behavioral changes after closed head injury in children. J Consult Clin Psychol 58(1), 93-98.</w:t>
      </w:r>
    </w:p>
    <w:p w:rsidR="00386007" w:rsidRPr="005463F4" w:rsidRDefault="00386007" w:rsidP="00140195">
      <w:pPr>
        <w:spacing w:after="120"/>
        <w:rPr>
          <w:rFonts w:cs="Calibri"/>
        </w:rPr>
      </w:pPr>
      <w:r w:rsidRPr="005463F4">
        <w:rPr>
          <w:rFonts w:cs="Calibri"/>
        </w:rPr>
        <w:t>Reynolds,</w:t>
      </w:r>
      <w:r w:rsidR="00FF7B9F" w:rsidRPr="005463F4">
        <w:rPr>
          <w:rFonts w:cs="Calibri"/>
        </w:rPr>
        <w:t xml:space="preserve"> CR., Fletcher-Janzen, E</w:t>
      </w:r>
      <w:r w:rsidRPr="005463F4">
        <w:rPr>
          <w:rFonts w:cs="Calibri"/>
        </w:rPr>
        <w:t>.</w:t>
      </w:r>
      <w:r w:rsidR="00FF7B9F" w:rsidRPr="005463F4">
        <w:rPr>
          <w:rFonts w:cs="Calibri"/>
        </w:rPr>
        <w:t xml:space="preserve"> (2007)</w:t>
      </w:r>
      <w:r w:rsidRPr="005463F4">
        <w:rPr>
          <w:rFonts w:cs="Calibri"/>
        </w:rPr>
        <w:t xml:space="preserve"> </w:t>
      </w:r>
      <w:r w:rsidRPr="005463F4">
        <w:rPr>
          <w:rFonts w:cs="Calibri"/>
          <w:i/>
        </w:rPr>
        <w:t>Encyclopedia of Special Education</w:t>
      </w:r>
      <w:r w:rsidR="00C33986" w:rsidRPr="005463F4">
        <w:rPr>
          <w:rFonts w:cs="Calibri"/>
        </w:rPr>
        <w:t>. John Wiley &amp; Sons:</w:t>
      </w:r>
      <w:r w:rsidRPr="005463F4">
        <w:rPr>
          <w:rFonts w:cs="Calibri"/>
        </w:rPr>
        <w:t xml:space="preserve"> Inc. Hoboken, New Jersey. </w:t>
      </w:r>
    </w:p>
    <w:p w:rsidR="0089414D" w:rsidRPr="005463F4" w:rsidRDefault="00A5484A" w:rsidP="00F86498">
      <w:pPr>
        <w:pStyle w:val="Heading2"/>
        <w:rPr>
          <w:u w:val="single"/>
        </w:rPr>
      </w:pPr>
      <w:r w:rsidRPr="005463F4">
        <w:br w:type="page"/>
      </w:r>
      <w:r w:rsidR="00140195" w:rsidRPr="005463F4">
        <w:lastRenderedPageBreak/>
        <w:t>Comprehensive Test of Phonological Processing (CTOPP)</w:t>
      </w:r>
    </w:p>
    <w:p w:rsidR="0089414D" w:rsidRPr="005463F4" w:rsidRDefault="0089414D" w:rsidP="00F86498">
      <w:pPr>
        <w:pStyle w:val="Heading3"/>
      </w:pPr>
      <w:r w:rsidRPr="005463F4">
        <w:t>DESCRIPTION</w:t>
      </w:r>
    </w:p>
    <w:p w:rsidR="00720326" w:rsidRPr="005463F4" w:rsidRDefault="00720326" w:rsidP="0089414D">
      <w:pPr>
        <w:spacing w:after="120"/>
        <w:rPr>
          <w:rFonts w:cs="Calibri"/>
        </w:rPr>
      </w:pPr>
      <w:r w:rsidRPr="005463F4">
        <w:rPr>
          <w:rFonts w:cs="Calibri"/>
        </w:rPr>
        <w:t>The CTOPP assesses phonological awareness, phonological memory, an</w:t>
      </w:r>
      <w:r w:rsidR="00310A10" w:rsidRPr="005463F4">
        <w:rPr>
          <w:rFonts w:cs="Calibri"/>
        </w:rPr>
        <w:t>d rapid naming</w:t>
      </w:r>
      <w:r w:rsidR="00556DD8" w:rsidRPr="005463F4">
        <w:rPr>
          <w:rFonts w:cs="Calibri"/>
        </w:rPr>
        <w:t xml:space="preserve"> as a measure of reading ability</w:t>
      </w:r>
      <w:r w:rsidR="00310A10" w:rsidRPr="005463F4">
        <w:rPr>
          <w:rFonts w:cs="Calibri"/>
        </w:rPr>
        <w:t xml:space="preserve">.  </w:t>
      </w:r>
      <w:r w:rsidR="00556DD8" w:rsidRPr="005463F4">
        <w:rPr>
          <w:rFonts w:cs="Calibri"/>
        </w:rPr>
        <w:t xml:space="preserve">Two levels of the test are available: for ages 5-6 years, containing seven core subtests and one supplemental test, and ages 7-24 years, containing </w:t>
      </w:r>
      <w:r w:rsidRPr="005463F4">
        <w:rPr>
          <w:rFonts w:cs="Calibri"/>
        </w:rPr>
        <w:t>six core subtests</w:t>
      </w:r>
      <w:r w:rsidR="00A61021">
        <w:rPr>
          <w:rFonts w:cs="Calibri"/>
        </w:rPr>
        <w:t xml:space="preserve"> and eight supplemental tests. </w:t>
      </w:r>
    </w:p>
    <w:p w:rsidR="0089414D" w:rsidRPr="005463F4" w:rsidRDefault="0089414D" w:rsidP="00F86498">
      <w:pPr>
        <w:pStyle w:val="Heading3"/>
      </w:pPr>
      <w:r w:rsidRPr="005463F4">
        <w:t xml:space="preserve">PERMISSIBLE VALUES </w:t>
      </w:r>
    </w:p>
    <w:p w:rsidR="00720326" w:rsidRPr="005463F4" w:rsidRDefault="00720326" w:rsidP="0089414D">
      <w:pPr>
        <w:spacing w:after="120"/>
        <w:rPr>
          <w:rFonts w:cs="Calibri"/>
        </w:rPr>
      </w:pPr>
      <w:r w:rsidRPr="005463F4">
        <w:rPr>
          <w:rFonts w:cs="Calibri"/>
        </w:rPr>
        <w:t>The composite standard scores for Phonological Awareness</w:t>
      </w:r>
      <w:r w:rsidR="00310A10" w:rsidRPr="005463F4">
        <w:rPr>
          <w:rFonts w:cs="Calibri"/>
        </w:rPr>
        <w:t xml:space="preserve"> Quotient</w:t>
      </w:r>
      <w:r w:rsidR="001B3019" w:rsidRPr="005463F4">
        <w:rPr>
          <w:rFonts w:cs="Calibri"/>
        </w:rPr>
        <w:t xml:space="preserve"> (PAQ)</w:t>
      </w:r>
      <w:r w:rsidRPr="005463F4">
        <w:rPr>
          <w:rFonts w:cs="Calibri"/>
        </w:rPr>
        <w:t>, Phonological Memory</w:t>
      </w:r>
      <w:r w:rsidR="00310A10" w:rsidRPr="005463F4">
        <w:rPr>
          <w:rFonts w:cs="Calibri"/>
        </w:rPr>
        <w:t xml:space="preserve"> Quotient</w:t>
      </w:r>
      <w:r w:rsidR="001B3019" w:rsidRPr="005463F4">
        <w:rPr>
          <w:rFonts w:cs="Calibri"/>
        </w:rPr>
        <w:t xml:space="preserve"> (PMQ)</w:t>
      </w:r>
      <w:r w:rsidR="00310A10" w:rsidRPr="005463F4">
        <w:rPr>
          <w:rFonts w:cs="Calibri"/>
        </w:rPr>
        <w:t>, and Rapid Naming Quotient</w:t>
      </w:r>
      <w:r w:rsidR="001B3019" w:rsidRPr="005463F4">
        <w:rPr>
          <w:rFonts w:cs="Calibri"/>
        </w:rPr>
        <w:t xml:space="preserve"> (RNQ)</w:t>
      </w:r>
      <w:r w:rsidRPr="005463F4">
        <w:rPr>
          <w:rFonts w:cs="Calibri"/>
        </w:rPr>
        <w:t xml:space="preserve"> have a mean of 100 and a standard deviation of 15.  Subtest standard scores have a mean of 10 and a standard deviation of 3. </w:t>
      </w:r>
      <w:r w:rsidR="00310A10" w:rsidRPr="005463F4">
        <w:rPr>
          <w:rFonts w:cs="Calibri"/>
        </w:rPr>
        <w:t xml:space="preserve"> </w:t>
      </w:r>
      <w:r w:rsidR="001B3019" w:rsidRPr="005463F4">
        <w:rPr>
          <w:rFonts w:cs="Calibri"/>
        </w:rPr>
        <w:t>Percentiles and standard scores as well as a</w:t>
      </w:r>
      <w:r w:rsidRPr="005463F4">
        <w:rPr>
          <w:rFonts w:cs="Calibri"/>
        </w:rPr>
        <w:t>ge</w:t>
      </w:r>
      <w:r w:rsidR="001B3019" w:rsidRPr="005463F4">
        <w:rPr>
          <w:rFonts w:cs="Calibri"/>
        </w:rPr>
        <w:t xml:space="preserve"> and grade equivalents are </w:t>
      </w:r>
      <w:r w:rsidRPr="005463F4">
        <w:rPr>
          <w:rFonts w:cs="Calibri"/>
        </w:rPr>
        <w:t>provided</w:t>
      </w:r>
      <w:r w:rsidR="001B3019" w:rsidRPr="005463F4">
        <w:rPr>
          <w:rFonts w:cs="Calibri"/>
        </w:rPr>
        <w:t xml:space="preserve"> with the examiner’s manual</w:t>
      </w:r>
      <w:r w:rsidRPr="005463F4">
        <w:rPr>
          <w:rFonts w:cs="Calibri"/>
        </w:rPr>
        <w:t>.</w:t>
      </w:r>
    </w:p>
    <w:p w:rsidR="0089414D" w:rsidRPr="005463F4" w:rsidRDefault="0089414D" w:rsidP="00F86498">
      <w:pPr>
        <w:pStyle w:val="Heading3"/>
      </w:pPr>
      <w:r w:rsidRPr="005463F4">
        <w:t xml:space="preserve">PROCEDURES </w:t>
      </w:r>
    </w:p>
    <w:p w:rsidR="00720326" w:rsidRPr="005463F4" w:rsidRDefault="00720326" w:rsidP="0089414D">
      <w:pPr>
        <w:spacing w:after="120"/>
        <w:rPr>
          <w:rFonts w:cs="Calibri"/>
        </w:rPr>
      </w:pPr>
      <w:r w:rsidRPr="005463F4">
        <w:rPr>
          <w:rFonts w:cs="Calibri"/>
        </w:rPr>
        <w:t xml:space="preserve">Both versions are individually administered, with the core subtests taking approximately 30 minutes total.  Supplemental tests may also be administered. </w:t>
      </w:r>
      <w:r w:rsidR="00622D88">
        <w:rPr>
          <w:rFonts w:cs="Calibri"/>
        </w:rPr>
        <w:t>The test should be administered by trained examiners.</w:t>
      </w:r>
    </w:p>
    <w:p w:rsidR="0032333B" w:rsidRPr="005463F4" w:rsidRDefault="0089414D" w:rsidP="00F86498">
      <w:pPr>
        <w:pStyle w:val="Heading3"/>
      </w:pPr>
      <w:r w:rsidRPr="005463F4">
        <w:t>COMMENTS</w:t>
      </w:r>
    </w:p>
    <w:p w:rsidR="00720326" w:rsidRPr="005463F4" w:rsidRDefault="00720326" w:rsidP="0089414D">
      <w:pPr>
        <w:spacing w:after="120"/>
        <w:rPr>
          <w:rFonts w:cs="Calibri"/>
          <w:b/>
        </w:rPr>
      </w:pPr>
      <w:r w:rsidRPr="005463F4">
        <w:rPr>
          <w:rFonts w:cs="Calibri"/>
        </w:rPr>
        <w:t>The test is appropriate for ages 5 through 24.</w:t>
      </w:r>
    </w:p>
    <w:p w:rsidR="0089414D" w:rsidRPr="005463F4" w:rsidRDefault="0089414D" w:rsidP="00F86498">
      <w:pPr>
        <w:pStyle w:val="Heading3"/>
      </w:pPr>
      <w:r w:rsidRPr="005463F4">
        <w:t>RATIONALE</w:t>
      </w:r>
    </w:p>
    <w:p w:rsidR="00720326" w:rsidRPr="005463F4" w:rsidRDefault="00E8578C" w:rsidP="0089414D">
      <w:pPr>
        <w:spacing w:after="120"/>
        <w:rPr>
          <w:rFonts w:cs="Calibri"/>
        </w:rPr>
      </w:pPr>
      <w:r w:rsidRPr="005463F4">
        <w:rPr>
          <w:rFonts w:cs="Calibri"/>
        </w:rPr>
        <w:t>“</w:t>
      </w:r>
      <w:r w:rsidR="00720326" w:rsidRPr="005463F4">
        <w:rPr>
          <w:rFonts w:cs="Calibri"/>
        </w:rPr>
        <w:t>To date, one subtest of this task has been used in at least one study o</w:t>
      </w:r>
      <w:r w:rsidRPr="005463F4">
        <w:rPr>
          <w:rFonts w:cs="Calibri"/>
        </w:rPr>
        <w:t>n outcome from childhood TBI.” - McCauley et al. 2012</w:t>
      </w:r>
    </w:p>
    <w:p w:rsidR="0089414D" w:rsidRPr="005463F4" w:rsidRDefault="00A61021" w:rsidP="00F86498">
      <w:pPr>
        <w:pStyle w:val="Heading3"/>
      </w:pPr>
      <w:r>
        <w:t>REFERENCES</w:t>
      </w:r>
    </w:p>
    <w:p w:rsidR="00720326" w:rsidRPr="005463F4" w:rsidRDefault="00720326" w:rsidP="00720326">
      <w:pPr>
        <w:spacing w:after="120"/>
        <w:rPr>
          <w:rFonts w:cs="Calibri"/>
        </w:rPr>
      </w:pPr>
      <w:r w:rsidRPr="005463F4">
        <w:rPr>
          <w:rFonts w:cs="Calibri"/>
        </w:rPr>
        <w:t>Wagner, R., Torgesen, J., and Rashotte, C. (1999). Comprehensive Test of Phonological Processing. Examiner's Manual. Pearson Assessments: San Antonio, TX.</w:t>
      </w:r>
    </w:p>
    <w:p w:rsidR="0032333B" w:rsidRPr="005463F4" w:rsidRDefault="00720326" w:rsidP="00720326">
      <w:pPr>
        <w:spacing w:after="120"/>
        <w:rPr>
          <w:rFonts w:cs="Calibri"/>
        </w:rPr>
      </w:pPr>
      <w:r w:rsidRPr="005463F4">
        <w:rPr>
          <w:rFonts w:cs="Calibri"/>
        </w:rPr>
        <w:t>Ewing-Cobbs, L., Prasad, M., Swank, P., Kramar, L., Cox, C., Fletcher, J., Barnes, M., and Zhang, X. (2008). Arrested development and disrupted callosal microstructure following pediatric traumatic brain injury: relation to neurobehavioral outcomes. Neuroimage 42(4), 1305-1315.</w:t>
      </w:r>
    </w:p>
    <w:p w:rsidR="00F95300" w:rsidRPr="005463F4" w:rsidRDefault="00F95300" w:rsidP="00720326">
      <w:pPr>
        <w:spacing w:after="120"/>
        <w:rPr>
          <w:rFonts w:cs="Calibri"/>
        </w:rPr>
      </w:pPr>
      <w:r w:rsidRPr="005463F4">
        <w:rPr>
          <w:rFonts w:cs="Calibri"/>
        </w:rPr>
        <w:t>Pro-</w:t>
      </w:r>
      <w:r w:rsidR="001B3019" w:rsidRPr="005463F4">
        <w:rPr>
          <w:rFonts w:cs="Calibri"/>
        </w:rPr>
        <w:t xml:space="preserve">ed, an international publisher. CTOPP: Comprehensive Test of Phonological Processing. Retrieved July 9, 2012, from </w:t>
      </w:r>
      <w:hyperlink r:id="rId7" w:history="1">
        <w:r w:rsidR="00D43454">
          <w:rPr>
            <w:rStyle w:val="Hyperlink"/>
            <w:rFonts w:cs="Calibri"/>
          </w:rPr>
          <w:t>Pro-ed Customer Product Review Link</w:t>
        </w:r>
      </w:hyperlink>
      <w:r w:rsidR="001B3019" w:rsidRPr="005463F4">
        <w:rPr>
          <w:rFonts w:cs="Calibri"/>
        </w:rPr>
        <w:t xml:space="preserve">. </w:t>
      </w:r>
    </w:p>
    <w:p w:rsidR="00FD6879" w:rsidRPr="005463F4" w:rsidRDefault="005114AB" w:rsidP="00F86498">
      <w:pPr>
        <w:pStyle w:val="Heading2"/>
      </w:pPr>
      <w:r w:rsidRPr="005463F4">
        <w:br w:type="page"/>
      </w:r>
      <w:r w:rsidR="00140195" w:rsidRPr="005463F4">
        <w:lastRenderedPageBreak/>
        <w:t>Gray Oral Reading Test, 4</w:t>
      </w:r>
      <w:r w:rsidR="00140195" w:rsidRPr="005463F4">
        <w:rPr>
          <w:vertAlign w:val="superscript"/>
        </w:rPr>
        <w:t>th</w:t>
      </w:r>
      <w:r w:rsidR="00140195" w:rsidRPr="005463F4">
        <w:t xml:space="preserve"> edition (GORT-4)</w:t>
      </w:r>
    </w:p>
    <w:p w:rsidR="0089414D" w:rsidRPr="005463F4" w:rsidRDefault="0089414D" w:rsidP="00F86498">
      <w:pPr>
        <w:pStyle w:val="Heading3"/>
      </w:pPr>
      <w:r w:rsidRPr="005463F4">
        <w:t>DESCRIPTION</w:t>
      </w:r>
    </w:p>
    <w:p w:rsidR="00FD6879" w:rsidRPr="005463F4" w:rsidRDefault="00720326" w:rsidP="0089414D">
      <w:pPr>
        <w:spacing w:after="120"/>
        <w:rPr>
          <w:rFonts w:cs="Calibri"/>
          <w:b/>
        </w:rPr>
      </w:pPr>
      <w:r w:rsidRPr="005463F4">
        <w:rPr>
          <w:rFonts w:cs="Calibri"/>
        </w:rPr>
        <w:t xml:space="preserve">The GORT-4 assesses </w:t>
      </w:r>
      <w:r w:rsidR="00556DD8" w:rsidRPr="005463F4">
        <w:rPr>
          <w:rFonts w:cs="Calibri"/>
        </w:rPr>
        <w:t xml:space="preserve">a subject’s </w:t>
      </w:r>
      <w:r w:rsidR="007E34DA" w:rsidRPr="005463F4">
        <w:rPr>
          <w:rFonts w:cs="Calibri"/>
        </w:rPr>
        <w:t xml:space="preserve">oral reading, including strengths and weaknesses. The individual receives five scores which provide information in the domains of rate, accuracy, fluency, comprehension and overall reading ability. </w:t>
      </w:r>
    </w:p>
    <w:p w:rsidR="0089414D" w:rsidRPr="005463F4" w:rsidRDefault="0089414D" w:rsidP="00F86498">
      <w:pPr>
        <w:pStyle w:val="Heading3"/>
      </w:pPr>
      <w:r w:rsidRPr="005463F4">
        <w:t xml:space="preserve">PERMISSIBLE VALUES </w:t>
      </w:r>
    </w:p>
    <w:p w:rsidR="005757F7" w:rsidRPr="005463F4" w:rsidRDefault="00720326" w:rsidP="0089414D">
      <w:pPr>
        <w:spacing w:after="120"/>
        <w:rPr>
          <w:rFonts w:cs="Calibri"/>
        </w:rPr>
      </w:pPr>
      <w:r w:rsidRPr="005463F4">
        <w:rPr>
          <w:rFonts w:cs="Calibri"/>
        </w:rPr>
        <w:t>In addition to standard scores (M=10, SD=3), percentile ranks, grade equivalents, and age equivalents are provided.</w:t>
      </w:r>
    </w:p>
    <w:p w:rsidR="0089414D" w:rsidRPr="005463F4" w:rsidRDefault="0089414D" w:rsidP="00F86498">
      <w:pPr>
        <w:pStyle w:val="Heading3"/>
      </w:pPr>
      <w:r w:rsidRPr="005463F4">
        <w:t xml:space="preserve">PROCEDURES </w:t>
      </w:r>
    </w:p>
    <w:p w:rsidR="00720326" w:rsidRPr="005463F4" w:rsidRDefault="007E34DA" w:rsidP="0089414D">
      <w:pPr>
        <w:spacing w:after="120"/>
        <w:rPr>
          <w:rFonts w:cs="Calibri"/>
        </w:rPr>
      </w:pPr>
      <w:r w:rsidRPr="005463F4">
        <w:rPr>
          <w:rFonts w:cs="Calibri"/>
        </w:rPr>
        <w:t>The test consists of two forms, each containing 14 reading passages with corresponding comprehension questions foll</w:t>
      </w:r>
      <w:r w:rsidR="00D43454">
        <w:rPr>
          <w:rFonts w:cs="Calibri"/>
        </w:rPr>
        <w:t xml:space="preserve">owing each passage. </w:t>
      </w:r>
      <w:r w:rsidR="005757F7" w:rsidRPr="005463F4">
        <w:rPr>
          <w:rFonts w:cs="Calibri"/>
        </w:rPr>
        <w:t>The t</w:t>
      </w:r>
      <w:r w:rsidR="00720326" w:rsidRPr="005463F4">
        <w:rPr>
          <w:rFonts w:cs="Calibri"/>
        </w:rPr>
        <w:t xml:space="preserve">est is individually administered and </w:t>
      </w:r>
      <w:r w:rsidR="005757F7" w:rsidRPr="005463F4">
        <w:rPr>
          <w:rFonts w:cs="Calibri"/>
        </w:rPr>
        <w:t>takes</w:t>
      </w:r>
      <w:r w:rsidR="00720326" w:rsidRPr="005463F4">
        <w:rPr>
          <w:rFonts w:cs="Calibri"/>
        </w:rPr>
        <w:t xml:space="preserve"> from 20 to 30 minutes</w:t>
      </w:r>
      <w:r w:rsidR="005757F7" w:rsidRPr="005463F4">
        <w:rPr>
          <w:rFonts w:cs="Calibri"/>
        </w:rPr>
        <w:t xml:space="preserve"> to complete</w:t>
      </w:r>
      <w:r w:rsidR="00D43454">
        <w:rPr>
          <w:rFonts w:cs="Calibri"/>
        </w:rPr>
        <w:t>.</w:t>
      </w:r>
      <w:r w:rsidR="00720326" w:rsidRPr="005463F4">
        <w:rPr>
          <w:rFonts w:cs="Calibri"/>
        </w:rPr>
        <w:t xml:space="preserve"> </w:t>
      </w:r>
      <w:r w:rsidR="00622D88" w:rsidRPr="005463F4">
        <w:rPr>
          <w:rFonts w:cs="Calibri"/>
        </w:rPr>
        <w:t xml:space="preserve">Skills commensurate with at least </w:t>
      </w:r>
      <w:r w:rsidR="00622D88">
        <w:rPr>
          <w:rFonts w:cs="Calibri"/>
        </w:rPr>
        <w:t>a</w:t>
      </w:r>
      <w:r w:rsidR="00622D88" w:rsidRPr="005463F4">
        <w:rPr>
          <w:rFonts w:cs="Calibri"/>
        </w:rPr>
        <w:t xml:space="preserve"> Master’s degree level in psychology, </w:t>
      </w:r>
      <w:r w:rsidR="00622D88">
        <w:rPr>
          <w:rFonts w:cs="Calibri"/>
        </w:rPr>
        <w:t xml:space="preserve">education, or related field </w:t>
      </w:r>
      <w:r w:rsidR="00622D88" w:rsidRPr="005463F4">
        <w:rPr>
          <w:rFonts w:cs="Calibri"/>
        </w:rPr>
        <w:t>are recommended for interpretation.</w:t>
      </w:r>
    </w:p>
    <w:p w:rsidR="00720326" w:rsidRPr="005463F4" w:rsidRDefault="0089414D" w:rsidP="00F86498">
      <w:pPr>
        <w:pStyle w:val="Heading3"/>
      </w:pPr>
      <w:r w:rsidRPr="005463F4">
        <w:t>COMMENTS</w:t>
      </w:r>
    </w:p>
    <w:p w:rsidR="00FD6879" w:rsidRPr="005463F4" w:rsidRDefault="00720326" w:rsidP="0089414D">
      <w:pPr>
        <w:spacing w:after="120"/>
        <w:rPr>
          <w:rFonts w:cs="Calibri"/>
          <w:b/>
        </w:rPr>
      </w:pPr>
      <w:r w:rsidRPr="005463F4">
        <w:rPr>
          <w:rFonts w:cs="Calibri"/>
        </w:rPr>
        <w:t>The instrument is appropriate for ages 6 through 18.</w:t>
      </w:r>
    </w:p>
    <w:p w:rsidR="0089414D" w:rsidRPr="005463F4" w:rsidRDefault="0089414D" w:rsidP="00F86498">
      <w:pPr>
        <w:pStyle w:val="Heading3"/>
      </w:pPr>
      <w:r w:rsidRPr="005463F4">
        <w:t>RATIONALE</w:t>
      </w:r>
    </w:p>
    <w:p w:rsidR="00720326" w:rsidRPr="005463F4" w:rsidRDefault="00E8578C" w:rsidP="0089414D">
      <w:pPr>
        <w:spacing w:after="120"/>
        <w:rPr>
          <w:rFonts w:cs="Calibri"/>
        </w:rPr>
      </w:pPr>
      <w:r w:rsidRPr="005463F4">
        <w:rPr>
          <w:rFonts w:cs="Calibri"/>
        </w:rPr>
        <w:t>“</w:t>
      </w:r>
      <w:r w:rsidR="00720326" w:rsidRPr="005463F4">
        <w:rPr>
          <w:rFonts w:cs="Calibri"/>
        </w:rPr>
        <w:t>This measure has strong psychometric properties, and has been found to be sensitive to reading difficulties in children with TBI.</w:t>
      </w:r>
      <w:r w:rsidRPr="005463F4">
        <w:rPr>
          <w:rFonts w:cs="Calibri"/>
        </w:rPr>
        <w:t>” - McCauley et al. 2012</w:t>
      </w:r>
    </w:p>
    <w:p w:rsidR="0089414D" w:rsidRPr="005463F4" w:rsidRDefault="00A61021" w:rsidP="00F86498">
      <w:pPr>
        <w:pStyle w:val="Heading3"/>
      </w:pPr>
      <w:r>
        <w:t>REFERENCES</w:t>
      </w:r>
    </w:p>
    <w:p w:rsidR="00720326" w:rsidRPr="005463F4" w:rsidRDefault="00720326" w:rsidP="00720326">
      <w:pPr>
        <w:spacing w:after="120"/>
        <w:rPr>
          <w:rFonts w:cs="Calibri"/>
        </w:rPr>
      </w:pPr>
      <w:r w:rsidRPr="005463F4">
        <w:rPr>
          <w:rFonts w:cs="Calibri"/>
        </w:rPr>
        <w:t xml:space="preserve">Wiederholt, J., and Bryant, B. (2001). Gray Oral Reading </w:t>
      </w:r>
      <w:r w:rsidR="00D43454" w:rsidRPr="005463F4">
        <w:rPr>
          <w:rFonts w:cs="Calibri"/>
        </w:rPr>
        <w:t>Test (</w:t>
      </w:r>
      <w:r w:rsidRPr="005463F4">
        <w:rPr>
          <w:rFonts w:cs="Calibri"/>
        </w:rPr>
        <w:t>GORT-4). Manual (Fourth ed.). Pearson Assessments: San Antonio, TX.</w:t>
      </w:r>
    </w:p>
    <w:p w:rsidR="00720326" w:rsidRPr="005463F4" w:rsidRDefault="00720326" w:rsidP="00720326">
      <w:pPr>
        <w:spacing w:after="120"/>
        <w:rPr>
          <w:rFonts w:cs="Calibri"/>
        </w:rPr>
      </w:pPr>
      <w:r w:rsidRPr="005463F4">
        <w:rPr>
          <w:rFonts w:cs="Calibri"/>
        </w:rPr>
        <w:t>Ewing-Cobbs, L., Prasad, M., Kramar, L., Cox, C., Baumgartner, J., Fletcher, J., Mendez, D., Barnes, M., Zhang, X., and Swank, P. (2006). Late-intellectual and academic outcomes following traumatic brain injury sustained during early childhood. J Neurosurg 105(Suppl 4), 287-296.</w:t>
      </w:r>
    </w:p>
    <w:p w:rsidR="00720326" w:rsidRPr="005463F4" w:rsidRDefault="00720326" w:rsidP="00720326">
      <w:pPr>
        <w:spacing w:after="120"/>
        <w:rPr>
          <w:rFonts w:cs="Calibri"/>
        </w:rPr>
      </w:pPr>
      <w:r w:rsidRPr="005463F4">
        <w:rPr>
          <w:rFonts w:cs="Calibri"/>
        </w:rPr>
        <w:t>Ewing-Cobbs, L., Prasad, M., Swank, P., Kramar, L., Cox, C., Fletcher, J., Barnes, M., and Zhang, X. (2008). Arrested development and disrupted callosal microstructure following pediatric traumatic brain injury: relation to neurobehavioral outcomes. Neuroimage 42(4), 1305-1315.</w:t>
      </w:r>
    </w:p>
    <w:p w:rsidR="005463F4" w:rsidRDefault="006C5CAF" w:rsidP="00720326">
      <w:pPr>
        <w:spacing w:after="120"/>
        <w:rPr>
          <w:rFonts w:cs="Calibri"/>
        </w:rPr>
      </w:pPr>
      <w:r w:rsidRPr="005463F4">
        <w:rPr>
          <w:rFonts w:cs="Calibri"/>
        </w:rPr>
        <w:t>P</w:t>
      </w:r>
      <w:r w:rsidR="007E34DA" w:rsidRPr="005463F4">
        <w:rPr>
          <w:rFonts w:cs="Calibri"/>
        </w:rPr>
        <w:t>s</w:t>
      </w:r>
      <w:r w:rsidRPr="005463F4">
        <w:rPr>
          <w:rFonts w:cs="Calibri"/>
        </w:rPr>
        <w:t>y</w:t>
      </w:r>
      <w:r w:rsidR="007E34DA" w:rsidRPr="005463F4">
        <w:rPr>
          <w:rFonts w:cs="Calibri"/>
        </w:rPr>
        <w:t>ch Corp/ Pearson Assessments</w:t>
      </w:r>
      <w:r w:rsidRPr="005463F4">
        <w:rPr>
          <w:rFonts w:cs="Calibri"/>
        </w:rPr>
        <w:t>/ Pearson Education, Inc</w:t>
      </w:r>
      <w:r w:rsidR="007E34DA" w:rsidRPr="005463F4">
        <w:rPr>
          <w:rFonts w:cs="Calibri"/>
        </w:rPr>
        <w:t>. Gray Oral Reading Test – Fourth Edition (GORT-4). Retrieved July 9, 2012, from</w:t>
      </w:r>
      <w:r w:rsidR="00D43454" w:rsidRPr="00D43454">
        <w:t xml:space="preserve"> </w:t>
      </w:r>
      <w:hyperlink r:id="rId8" w:history="1">
        <w:r w:rsidR="00D43454">
          <w:rPr>
            <w:rStyle w:val="Hyperlink"/>
            <w:rFonts w:cs="Calibri"/>
          </w:rPr>
          <w:t>Gray Oral Reading Test 4th Edition Instrument Link</w:t>
        </w:r>
      </w:hyperlink>
      <w:r w:rsidR="007E34DA" w:rsidRPr="005463F4">
        <w:rPr>
          <w:rFonts w:cs="Calibri"/>
        </w:rPr>
        <w:t xml:space="preserve">. </w:t>
      </w:r>
    </w:p>
    <w:p w:rsidR="00FD6879" w:rsidRPr="005463F4" w:rsidRDefault="005463F4" w:rsidP="00F86498">
      <w:pPr>
        <w:pStyle w:val="Heading2"/>
      </w:pPr>
      <w:r>
        <w:br w:type="page"/>
      </w:r>
      <w:r w:rsidR="00140195" w:rsidRPr="005463F4">
        <w:lastRenderedPageBreak/>
        <w:t xml:space="preserve">KeyMath-3 Diagnostic Assessment </w:t>
      </w:r>
    </w:p>
    <w:p w:rsidR="00FD6879" w:rsidRPr="005463F4" w:rsidRDefault="00720326" w:rsidP="00F86498">
      <w:pPr>
        <w:pStyle w:val="Heading3"/>
      </w:pPr>
      <w:r w:rsidRPr="005463F4">
        <w:t>DESCRIPTION</w:t>
      </w:r>
    </w:p>
    <w:p w:rsidR="00720326" w:rsidRPr="005463F4" w:rsidRDefault="00A545A0" w:rsidP="00FD6879">
      <w:pPr>
        <w:rPr>
          <w:rFonts w:cs="Calibri"/>
        </w:rPr>
      </w:pPr>
      <w:r w:rsidRPr="005463F4">
        <w:rPr>
          <w:rFonts w:cs="Calibri"/>
        </w:rPr>
        <w:t xml:space="preserve">The KeyMath-3 </w:t>
      </w:r>
      <w:r w:rsidR="00556DD8" w:rsidRPr="005463F4">
        <w:rPr>
          <w:rFonts w:cs="Calibri"/>
        </w:rPr>
        <w:t>is used to assess a subject’s ability to understand and apply mathematical concepts.</w:t>
      </w:r>
      <w:r w:rsidR="00720326" w:rsidRPr="005463F4">
        <w:rPr>
          <w:rFonts w:cs="Calibri"/>
        </w:rPr>
        <w:t xml:space="preserve"> </w:t>
      </w:r>
      <w:r w:rsidR="004A01CD" w:rsidRPr="005463F4">
        <w:rPr>
          <w:rFonts w:cs="Calibri"/>
        </w:rPr>
        <w:t xml:space="preserve">Five subtests assess basic concepts (Numeration, Algebra, Geometry, Measurement, Data Analysis and Probability); three subtests test operations (Mental Computation and Estimation, Written Computation: Addition and Subtraction, Written Computation: Multiplication and Division); and two subtests are devoted to applying concepts (Foundations of Problem Solving and Applied Problem Solving). </w:t>
      </w:r>
    </w:p>
    <w:p w:rsidR="00FD6879" w:rsidRPr="005463F4" w:rsidRDefault="00FD6879" w:rsidP="00F86498">
      <w:pPr>
        <w:pStyle w:val="Heading3"/>
      </w:pPr>
      <w:r w:rsidRPr="005463F4">
        <w:t>PERMISSIBLE VALUES</w:t>
      </w:r>
    </w:p>
    <w:p w:rsidR="00720326" w:rsidRPr="005463F4" w:rsidRDefault="00720326" w:rsidP="00FD6879">
      <w:pPr>
        <w:rPr>
          <w:rFonts w:cs="Calibri"/>
        </w:rPr>
      </w:pPr>
      <w:r w:rsidRPr="005463F4">
        <w:rPr>
          <w:rFonts w:cs="Calibri"/>
        </w:rPr>
        <w:t>Standard scores (M=100, SD=15), scale scores, percentiles, and grade/age equivalents are given for the Total Test, 3 areas, and 10 subtests.</w:t>
      </w:r>
    </w:p>
    <w:p w:rsidR="00FD6879" w:rsidRPr="005463F4" w:rsidRDefault="00FD6879" w:rsidP="00F86498">
      <w:pPr>
        <w:pStyle w:val="Heading3"/>
      </w:pPr>
      <w:r w:rsidRPr="005463F4">
        <w:t>PROCEDURE</w:t>
      </w:r>
    </w:p>
    <w:p w:rsidR="00720326" w:rsidRPr="005463F4" w:rsidRDefault="00720326" w:rsidP="00FD6879">
      <w:pPr>
        <w:rPr>
          <w:rFonts w:cs="Calibri"/>
        </w:rPr>
      </w:pPr>
      <w:r w:rsidRPr="005463F4">
        <w:rPr>
          <w:rFonts w:cs="Calibri"/>
        </w:rPr>
        <w:t xml:space="preserve">The KeyMath-3 is individually administered and ranges from 30 to 90 minutes for the entire battery of tests, depending on the student's grade level. </w:t>
      </w:r>
      <w:r w:rsidR="00C2350A" w:rsidRPr="005463F4">
        <w:rPr>
          <w:rFonts w:cs="Calibri"/>
        </w:rPr>
        <w:t>Select subtests may be administered if a professional is interested in a particular area of the student’s ability.</w:t>
      </w:r>
      <w:r w:rsidR="00EB77F3" w:rsidRPr="005463F4">
        <w:rPr>
          <w:rFonts w:cs="Calibri"/>
        </w:rPr>
        <w:t xml:space="preserve"> </w:t>
      </w:r>
      <w:r w:rsidR="00C2350A" w:rsidRPr="005463F4">
        <w:rPr>
          <w:rFonts w:cs="Calibri"/>
        </w:rPr>
        <w:t>This assessment has two versions that can be administered (by alternating versions) every three months.</w:t>
      </w:r>
      <w:r w:rsidRPr="005463F4">
        <w:rPr>
          <w:rFonts w:cs="Calibri"/>
        </w:rPr>
        <w:t xml:space="preserve"> </w:t>
      </w:r>
      <w:r w:rsidR="00622D88">
        <w:rPr>
          <w:rFonts w:cs="Calibri"/>
        </w:rPr>
        <w:t>Examiner should have formal training in mathematics and test interpretation.</w:t>
      </w:r>
      <w:r w:rsidR="000E103B" w:rsidRPr="005463F4">
        <w:rPr>
          <w:rFonts w:cs="Calibri"/>
        </w:rPr>
        <w:t xml:space="preserve"> </w:t>
      </w:r>
    </w:p>
    <w:p w:rsidR="00FD6879" w:rsidRPr="005463F4" w:rsidRDefault="00720326" w:rsidP="00F86498">
      <w:pPr>
        <w:pStyle w:val="Heading3"/>
      </w:pPr>
      <w:r w:rsidRPr="005463F4">
        <w:t>COMMENTS</w:t>
      </w:r>
    </w:p>
    <w:p w:rsidR="00720326" w:rsidRPr="005463F4" w:rsidRDefault="00C2350A" w:rsidP="00720326">
      <w:pPr>
        <w:rPr>
          <w:rFonts w:cs="Calibri"/>
        </w:rPr>
      </w:pPr>
      <w:r w:rsidRPr="005463F4">
        <w:rPr>
          <w:rFonts w:cs="Calibri"/>
        </w:rPr>
        <w:t>KeyMath-3 should be used with students from pre-kindergarten through 12</w:t>
      </w:r>
      <w:r w:rsidRPr="005463F4">
        <w:rPr>
          <w:rFonts w:cs="Calibri"/>
          <w:vertAlign w:val="superscript"/>
        </w:rPr>
        <w:t>th</w:t>
      </w:r>
      <w:r w:rsidR="005757F7" w:rsidRPr="005463F4">
        <w:rPr>
          <w:rFonts w:cs="Calibri"/>
        </w:rPr>
        <w:t xml:space="preserve"> grade. Age norms range from 4 years through 21</w:t>
      </w:r>
      <w:r w:rsidRPr="005463F4">
        <w:rPr>
          <w:rFonts w:cs="Calibri"/>
        </w:rPr>
        <w:t xml:space="preserve"> years. </w:t>
      </w:r>
      <w:r w:rsidR="00A545A0" w:rsidRPr="005463F4">
        <w:rPr>
          <w:rFonts w:cs="Calibri"/>
        </w:rPr>
        <w:t>To date, there are no published studies on this task with children with TBI.</w:t>
      </w:r>
    </w:p>
    <w:p w:rsidR="00FD6879" w:rsidRPr="005463F4" w:rsidRDefault="00720326" w:rsidP="00F86498">
      <w:pPr>
        <w:pStyle w:val="Heading3"/>
      </w:pPr>
      <w:r w:rsidRPr="005463F4">
        <w:t>RATIONALE</w:t>
      </w:r>
      <w:r w:rsidR="00FD6879" w:rsidRPr="005463F4">
        <w:t xml:space="preserve"> </w:t>
      </w:r>
    </w:p>
    <w:p w:rsidR="002705F5" w:rsidRPr="005463F4" w:rsidRDefault="00E8578C" w:rsidP="00FD6879">
      <w:pPr>
        <w:rPr>
          <w:rFonts w:cs="Calibri"/>
          <w:b/>
        </w:rPr>
      </w:pPr>
      <w:r w:rsidRPr="005463F4">
        <w:rPr>
          <w:rFonts w:cs="Calibri"/>
        </w:rPr>
        <w:t>“</w:t>
      </w:r>
      <w:r w:rsidR="00720326" w:rsidRPr="005463F4">
        <w:rPr>
          <w:rFonts w:cs="Calibri"/>
        </w:rPr>
        <w:t>This measure has good psychometric properties and has potential to elucidate math</w:t>
      </w:r>
      <w:r w:rsidR="00DB0C27" w:rsidRPr="005463F4">
        <w:rPr>
          <w:rFonts w:cs="Calibri"/>
        </w:rPr>
        <w:t>ematical</w:t>
      </w:r>
      <w:r w:rsidR="00720326" w:rsidRPr="005463F4">
        <w:rPr>
          <w:rFonts w:cs="Calibri"/>
        </w:rPr>
        <w:t xml:space="preserve"> skills in children with TBI.</w:t>
      </w:r>
      <w:r w:rsidRPr="005463F4">
        <w:rPr>
          <w:rFonts w:cs="Calibri"/>
        </w:rPr>
        <w:t>” - McCauley et al. 2012</w:t>
      </w:r>
    </w:p>
    <w:p w:rsidR="00FD6879" w:rsidRPr="005463F4" w:rsidRDefault="00720326" w:rsidP="00F86498">
      <w:pPr>
        <w:pStyle w:val="Heading3"/>
      </w:pPr>
      <w:r w:rsidRPr="005463F4">
        <w:t>REFERENCES</w:t>
      </w:r>
    </w:p>
    <w:p w:rsidR="00720326" w:rsidRPr="005463F4" w:rsidRDefault="00720326" w:rsidP="00F86498">
      <w:pPr>
        <w:autoSpaceDE w:val="0"/>
        <w:autoSpaceDN w:val="0"/>
        <w:adjustRightInd w:val="0"/>
        <w:spacing w:before="120" w:after="60" w:line="240" w:lineRule="auto"/>
        <w:rPr>
          <w:rFonts w:cs="Calibri"/>
        </w:rPr>
      </w:pPr>
      <w:r w:rsidRPr="005463F4">
        <w:rPr>
          <w:rFonts w:cs="Calibri"/>
        </w:rPr>
        <w:t>Wagner, R., Torgesen, J., and Rashotte, C. (1999). Comprehensive Test of Phonological Processing. Examiner's Manual. Pearson Assessments: San Antonio, TX.</w:t>
      </w:r>
    </w:p>
    <w:p w:rsidR="00AC68C0" w:rsidRPr="005463F4" w:rsidRDefault="00720326" w:rsidP="00F86498">
      <w:pPr>
        <w:autoSpaceDE w:val="0"/>
        <w:autoSpaceDN w:val="0"/>
        <w:adjustRightInd w:val="0"/>
        <w:spacing w:before="120" w:after="60" w:line="240" w:lineRule="auto"/>
        <w:rPr>
          <w:rFonts w:cs="Calibri"/>
        </w:rPr>
      </w:pPr>
      <w:r w:rsidRPr="005463F4">
        <w:rPr>
          <w:rFonts w:cs="Calibri"/>
        </w:rPr>
        <w:t>Ewing-Cobbs, L., Prasad, M., Swank, P., Kramar, L., Cox, C., Fletcher, J., Barnes, M., and Zhang, X. (2008). Arrested development and disrupted callosal microstructure following pediatric traumatic brain injury: relation to neurobehavioral outcomes. Neuroimage 42(4), 1305-1315.</w:t>
      </w:r>
    </w:p>
    <w:p w:rsidR="00C2350A" w:rsidRPr="005463F4" w:rsidRDefault="00C2350A" w:rsidP="00F86498">
      <w:pPr>
        <w:spacing w:before="120" w:after="60"/>
        <w:rPr>
          <w:rFonts w:cs="Calibri"/>
        </w:rPr>
      </w:pPr>
      <w:r w:rsidRPr="005463F4">
        <w:rPr>
          <w:rFonts w:cs="Calibri"/>
        </w:rPr>
        <w:t>Psych Corp/ Pearson Assessments/ Pearson Education, Inc. KeyMath 3 Diagnostic Assessment. Retrieved July 10, 2012, from http://www.pearsonschool.com/index.cfm?locator=PSZ3E2</w:t>
      </w:r>
    </w:p>
    <w:p w:rsidR="00FD6879" w:rsidRPr="005463F4" w:rsidRDefault="000856DD" w:rsidP="00F86498">
      <w:pPr>
        <w:pStyle w:val="Heading2"/>
      </w:pPr>
      <w:r>
        <w:br w:type="page"/>
      </w:r>
      <w:r w:rsidR="00140195" w:rsidRPr="005463F4">
        <w:lastRenderedPageBreak/>
        <w:t>Test of Word Reading Efficiency (TOWRE)</w:t>
      </w:r>
    </w:p>
    <w:p w:rsidR="00FD6879" w:rsidRPr="005463F4" w:rsidRDefault="00FD6879" w:rsidP="00F86498">
      <w:pPr>
        <w:pStyle w:val="Heading3"/>
      </w:pPr>
      <w:r w:rsidRPr="005463F4">
        <w:t>DESCRIPTION</w:t>
      </w:r>
    </w:p>
    <w:p w:rsidR="005740C4" w:rsidRPr="005463F4" w:rsidRDefault="005740C4" w:rsidP="00FD6879">
      <w:pPr>
        <w:spacing w:after="120"/>
        <w:rPr>
          <w:rFonts w:cs="Calibri"/>
        </w:rPr>
      </w:pPr>
      <w:r w:rsidRPr="005463F4">
        <w:rPr>
          <w:rFonts w:cs="Calibri"/>
        </w:rPr>
        <w:t xml:space="preserve">The TOWRE assesses reading development </w:t>
      </w:r>
      <w:r w:rsidR="00991449" w:rsidRPr="005463F4">
        <w:rPr>
          <w:rFonts w:cs="Calibri"/>
        </w:rPr>
        <w:t>with two subtests that present the subject either with familiar words or unfamiliar nonsense words. The subject is scored on the ability to pronounce the words accurately</w:t>
      </w:r>
      <w:r w:rsidR="00A61021">
        <w:rPr>
          <w:rFonts w:cs="Calibri"/>
        </w:rPr>
        <w:t xml:space="preserve">. </w:t>
      </w:r>
      <w:r w:rsidRPr="005463F4">
        <w:rPr>
          <w:rFonts w:cs="Calibri"/>
        </w:rPr>
        <w:t xml:space="preserve">Each of </w:t>
      </w:r>
      <w:r w:rsidR="00991449" w:rsidRPr="005463F4">
        <w:rPr>
          <w:rFonts w:cs="Calibri"/>
        </w:rPr>
        <w:t xml:space="preserve">the </w:t>
      </w:r>
      <w:r w:rsidRPr="005463F4">
        <w:rPr>
          <w:rFonts w:cs="Calibri"/>
        </w:rPr>
        <w:t xml:space="preserve">subtests has two </w:t>
      </w:r>
      <w:r w:rsidR="00991449" w:rsidRPr="005463F4">
        <w:rPr>
          <w:rFonts w:cs="Calibri"/>
        </w:rPr>
        <w:t xml:space="preserve">alternate </w:t>
      </w:r>
      <w:r w:rsidRPr="005463F4">
        <w:rPr>
          <w:rFonts w:cs="Calibri"/>
        </w:rPr>
        <w:t>forms</w:t>
      </w:r>
      <w:r w:rsidR="00991449" w:rsidRPr="005463F4">
        <w:rPr>
          <w:rFonts w:cs="Calibri"/>
        </w:rPr>
        <w:t>.</w:t>
      </w:r>
      <w:r w:rsidR="00A61021">
        <w:rPr>
          <w:rFonts w:cs="Calibri"/>
        </w:rPr>
        <w:t xml:space="preserve"> </w:t>
      </w:r>
    </w:p>
    <w:p w:rsidR="00FD6879" w:rsidRPr="005463F4" w:rsidRDefault="00FD6879" w:rsidP="00F86498">
      <w:pPr>
        <w:pStyle w:val="Heading3"/>
      </w:pPr>
      <w:r w:rsidRPr="005463F4">
        <w:t xml:space="preserve">PERMISSIBLE VALUES </w:t>
      </w:r>
    </w:p>
    <w:p w:rsidR="005740C4" w:rsidRPr="005463F4" w:rsidRDefault="005740C4" w:rsidP="00FD6879">
      <w:pPr>
        <w:spacing w:after="120"/>
        <w:rPr>
          <w:rFonts w:cs="Calibri"/>
        </w:rPr>
      </w:pPr>
      <w:r w:rsidRPr="005463F4">
        <w:rPr>
          <w:rFonts w:cs="Calibri"/>
        </w:rPr>
        <w:t>Raw scores are the number of real words that are read correctly in 45 seconds and the number of non</w:t>
      </w:r>
      <w:r w:rsidR="00B80EE0" w:rsidRPr="005463F4">
        <w:rPr>
          <w:rFonts w:cs="Calibri"/>
        </w:rPr>
        <w:t>-</w:t>
      </w:r>
      <w:r w:rsidRPr="005463F4">
        <w:rPr>
          <w:rFonts w:cs="Calibri"/>
        </w:rPr>
        <w:t>words pronounced correctly in 45 seconds. Subtest standard scores have a mean of 100 and a standa</w:t>
      </w:r>
      <w:r w:rsidR="000E103B" w:rsidRPr="005463F4">
        <w:rPr>
          <w:rFonts w:cs="Calibri"/>
        </w:rPr>
        <w:t xml:space="preserve">rd deviation of 15. The TOWRE scoring software includes percentiles, standard scores, </w:t>
      </w:r>
      <w:r w:rsidR="00991449" w:rsidRPr="005463F4">
        <w:rPr>
          <w:rFonts w:cs="Calibri"/>
        </w:rPr>
        <w:t>and age</w:t>
      </w:r>
      <w:r w:rsidR="000E103B" w:rsidRPr="005463F4">
        <w:rPr>
          <w:rFonts w:cs="Calibri"/>
        </w:rPr>
        <w:t xml:space="preserve"> and grade equivalents. </w:t>
      </w:r>
    </w:p>
    <w:p w:rsidR="00FD6879" w:rsidRPr="005463F4" w:rsidRDefault="00FD6879" w:rsidP="00F86498">
      <w:pPr>
        <w:pStyle w:val="Heading3"/>
      </w:pPr>
      <w:r w:rsidRPr="005463F4">
        <w:t xml:space="preserve">PROCEDURES </w:t>
      </w:r>
    </w:p>
    <w:p w:rsidR="005740C4" w:rsidRPr="005463F4" w:rsidRDefault="005740C4" w:rsidP="00FD6879">
      <w:pPr>
        <w:spacing w:after="120"/>
        <w:rPr>
          <w:rFonts w:cs="Calibri"/>
        </w:rPr>
      </w:pPr>
      <w:r w:rsidRPr="005463F4">
        <w:rPr>
          <w:rFonts w:cs="Calibri"/>
        </w:rPr>
        <w:t>The test is comprised of two subtests, lasting 45 seconds each</w:t>
      </w:r>
      <w:r w:rsidR="00A5484A" w:rsidRPr="005463F4">
        <w:rPr>
          <w:rFonts w:cs="Calibri"/>
        </w:rPr>
        <w:t>.</w:t>
      </w:r>
      <w:r w:rsidR="00A61021">
        <w:rPr>
          <w:rFonts w:cs="Calibri"/>
        </w:rPr>
        <w:t xml:space="preserve"> </w:t>
      </w:r>
      <w:r w:rsidRPr="005463F4">
        <w:rPr>
          <w:rFonts w:cs="Calibri"/>
        </w:rPr>
        <w:t>The test can be administered by trained research assistants with formal training in administration, scoring, and interpretation of clinical assessments.</w:t>
      </w:r>
    </w:p>
    <w:p w:rsidR="00FD6879" w:rsidRPr="005463F4" w:rsidRDefault="00FD6879" w:rsidP="00F86498">
      <w:pPr>
        <w:pStyle w:val="Heading3"/>
      </w:pPr>
      <w:r w:rsidRPr="005463F4">
        <w:t>COMMENTS</w:t>
      </w:r>
    </w:p>
    <w:p w:rsidR="005740C4" w:rsidRPr="005463F4" w:rsidRDefault="005740C4" w:rsidP="00FD6879">
      <w:pPr>
        <w:spacing w:after="120"/>
        <w:rPr>
          <w:rFonts w:cs="Calibri"/>
        </w:rPr>
      </w:pPr>
      <w:r w:rsidRPr="005463F4">
        <w:rPr>
          <w:rFonts w:cs="Calibri"/>
        </w:rPr>
        <w:t>The TOWRE is appropriate for ages 6 through 24.</w:t>
      </w:r>
    </w:p>
    <w:p w:rsidR="00FD6879" w:rsidRPr="005463F4" w:rsidRDefault="00FD6879" w:rsidP="00F86498">
      <w:pPr>
        <w:pStyle w:val="Heading3"/>
      </w:pPr>
      <w:r w:rsidRPr="005463F4">
        <w:t>RATIONALE</w:t>
      </w:r>
    </w:p>
    <w:p w:rsidR="005740C4" w:rsidRPr="005463F4" w:rsidRDefault="005740C4" w:rsidP="00FD6879">
      <w:pPr>
        <w:spacing w:after="120"/>
        <w:rPr>
          <w:rFonts w:cs="Calibri"/>
        </w:rPr>
      </w:pPr>
      <w:r w:rsidRPr="005463F4">
        <w:rPr>
          <w:rFonts w:cs="Calibri"/>
        </w:rPr>
        <w:t>The measure is nationally normed on a sample of over 1500 and has potential for use with TBI</w:t>
      </w:r>
      <w:r w:rsidR="00DB0C27" w:rsidRPr="005463F4">
        <w:rPr>
          <w:rFonts w:cs="Calibri"/>
        </w:rPr>
        <w:t>.</w:t>
      </w:r>
    </w:p>
    <w:p w:rsidR="00FD6879" w:rsidRPr="005463F4" w:rsidRDefault="00A61021" w:rsidP="00F86498">
      <w:pPr>
        <w:pStyle w:val="Heading3"/>
      </w:pPr>
      <w:r>
        <w:t>REFERENCES</w:t>
      </w:r>
    </w:p>
    <w:p w:rsidR="005740C4" w:rsidRPr="005463F4" w:rsidRDefault="005740C4" w:rsidP="005740C4">
      <w:pPr>
        <w:spacing w:after="120"/>
        <w:rPr>
          <w:rFonts w:cs="Calibri"/>
        </w:rPr>
      </w:pPr>
      <w:r w:rsidRPr="005463F4">
        <w:rPr>
          <w:rFonts w:cs="Calibri"/>
        </w:rPr>
        <w:t>Wagner, R., Torgesen, J., and Rashotte, C. (1999). Comprehensive Test of Phonological Processing. Examiner's Manual. Pearson Assessments: San Antonio, TX.</w:t>
      </w:r>
    </w:p>
    <w:p w:rsidR="005740C4" w:rsidRPr="005463F4" w:rsidRDefault="005740C4" w:rsidP="005740C4">
      <w:pPr>
        <w:spacing w:after="120"/>
        <w:rPr>
          <w:rFonts w:cs="Calibri"/>
        </w:rPr>
      </w:pPr>
      <w:r w:rsidRPr="005463F4">
        <w:rPr>
          <w:rFonts w:cs="Calibri"/>
        </w:rPr>
        <w:t>Ewing-Cobbs, L., Prasad, M., Swank, P., Kramar, L., Cox, C., Fletcher, J., Barnes, M., and Zhang, X. (2008). Arrested development and disrupted callosal microstructure following pediatric traumatic brain injury: relation to neurobehavioral outcomes. Neuroimage 42(4), 1305-1315.</w:t>
      </w:r>
    </w:p>
    <w:p w:rsidR="005740C4" w:rsidRPr="005463F4" w:rsidRDefault="005740C4" w:rsidP="005740C4">
      <w:pPr>
        <w:spacing w:after="120"/>
        <w:rPr>
          <w:rFonts w:cs="Calibri"/>
        </w:rPr>
      </w:pPr>
      <w:r w:rsidRPr="005463F4">
        <w:rPr>
          <w:rFonts w:cs="Calibri"/>
        </w:rPr>
        <w:t>Torgesen, J., Wagner, R., and Rashotte, C. (1999). Test of Word Reading Efficiency. Pro-Ed: Austin, TX.</w:t>
      </w:r>
    </w:p>
    <w:p w:rsidR="00140195" w:rsidRPr="005463F4" w:rsidRDefault="000E103B" w:rsidP="00D43454">
      <w:pPr>
        <w:spacing w:after="120"/>
        <w:rPr>
          <w:u w:val="single"/>
        </w:rPr>
      </w:pPr>
      <w:r w:rsidRPr="005463F4">
        <w:rPr>
          <w:rFonts w:cs="Calibri"/>
        </w:rPr>
        <w:t xml:space="preserve">Western Psychological Services. Test of Word Reading Efficiency (TOWRE). Retrieved on July 12, 2012, from </w:t>
      </w:r>
      <w:hyperlink r:id="rId9" w:history="1">
        <w:r w:rsidR="00D43454">
          <w:rPr>
            <w:rStyle w:val="Hyperlink"/>
            <w:rFonts w:cs="Calibri"/>
          </w:rPr>
          <w:t>Test of Word Reading Efficiency Instrument Link</w:t>
        </w:r>
      </w:hyperlink>
      <w:r w:rsidR="00D43454">
        <w:rPr>
          <w:rFonts w:cs="Calibri"/>
        </w:rPr>
        <w:t xml:space="preserve"> </w:t>
      </w:r>
      <w:r w:rsidR="005114AB" w:rsidRPr="005463F4">
        <w:rPr>
          <w:b/>
        </w:rPr>
        <w:br w:type="page"/>
      </w:r>
      <w:r w:rsidR="00140195" w:rsidRPr="005463F4">
        <w:rPr>
          <w:b/>
        </w:rPr>
        <w:lastRenderedPageBreak/>
        <w:t>Woodcock-Johnson, 3</w:t>
      </w:r>
      <w:r w:rsidR="00140195" w:rsidRPr="005463F4">
        <w:rPr>
          <w:b/>
          <w:vertAlign w:val="superscript"/>
        </w:rPr>
        <w:t>rd</w:t>
      </w:r>
      <w:r w:rsidR="00140195" w:rsidRPr="005463F4">
        <w:rPr>
          <w:b/>
        </w:rPr>
        <w:t xml:space="preserve"> edition (WJ-III); Achievement Tests </w:t>
      </w:r>
    </w:p>
    <w:p w:rsidR="00140195" w:rsidRPr="005463F4" w:rsidRDefault="00140195" w:rsidP="00F86498">
      <w:pPr>
        <w:pStyle w:val="Heading3"/>
      </w:pPr>
      <w:r w:rsidRPr="005463F4">
        <w:t>DESCRIPTION</w:t>
      </w:r>
    </w:p>
    <w:p w:rsidR="005740C4" w:rsidRPr="005463F4" w:rsidRDefault="005740C4" w:rsidP="00140195">
      <w:pPr>
        <w:spacing w:after="120"/>
        <w:rPr>
          <w:rFonts w:cs="Calibri"/>
        </w:rPr>
      </w:pPr>
      <w:r w:rsidRPr="005463F4">
        <w:rPr>
          <w:rFonts w:cs="Calibri"/>
        </w:rPr>
        <w:t>The WJ-III assesses academic abilities</w:t>
      </w:r>
      <w:r w:rsidR="00E8578C" w:rsidRPr="005463F4">
        <w:rPr>
          <w:rFonts w:cs="Calibri"/>
        </w:rPr>
        <w:t xml:space="preserve"> and is made up of a standard battery and extended battery. The standard battery can be administered without the extended battery but not vice versa. The recommended Achievement Tests</w:t>
      </w:r>
      <w:r w:rsidRPr="005463F4">
        <w:rPr>
          <w:rFonts w:cs="Calibri"/>
        </w:rPr>
        <w:t xml:space="preserve"> </w:t>
      </w:r>
      <w:r w:rsidR="00E8578C" w:rsidRPr="005463F4">
        <w:rPr>
          <w:rFonts w:cs="Calibri"/>
        </w:rPr>
        <w:t>include letter-word identification, reading fluency, passage comprehension, word attack, calculation, math fluency, applied problems, spelling, writing fluency, and writing samples.</w:t>
      </w:r>
      <w:r w:rsidR="000E103B" w:rsidRPr="005463F4">
        <w:rPr>
          <w:rFonts w:cs="Calibri"/>
        </w:rPr>
        <w:t xml:space="preserve"> </w:t>
      </w:r>
    </w:p>
    <w:p w:rsidR="00140195" w:rsidRPr="005463F4" w:rsidRDefault="00140195" w:rsidP="00F86498">
      <w:pPr>
        <w:pStyle w:val="Heading3"/>
      </w:pPr>
      <w:r w:rsidRPr="005463F4">
        <w:t xml:space="preserve">PERMISSIBLE VALUES </w:t>
      </w:r>
    </w:p>
    <w:p w:rsidR="005740C4" w:rsidRPr="005463F4" w:rsidRDefault="005740C4" w:rsidP="00140195">
      <w:pPr>
        <w:spacing w:after="120"/>
        <w:rPr>
          <w:rFonts w:cs="Calibri"/>
        </w:rPr>
      </w:pPr>
      <w:r w:rsidRPr="005463F4">
        <w:rPr>
          <w:rFonts w:cs="Calibri"/>
        </w:rPr>
        <w:t>Scores between 0 and 200 are provided, as well as percentile rankings.</w:t>
      </w:r>
    </w:p>
    <w:p w:rsidR="00140195" w:rsidRPr="005463F4" w:rsidRDefault="00140195" w:rsidP="00F86498">
      <w:pPr>
        <w:pStyle w:val="Heading3"/>
      </w:pPr>
      <w:r w:rsidRPr="005463F4">
        <w:t xml:space="preserve">PROCEDURES </w:t>
      </w:r>
    </w:p>
    <w:p w:rsidR="00622D88" w:rsidRDefault="005740C4" w:rsidP="00140195">
      <w:pPr>
        <w:spacing w:after="120"/>
        <w:rPr>
          <w:rFonts w:cs="Calibri"/>
        </w:rPr>
      </w:pPr>
      <w:r w:rsidRPr="005463F4">
        <w:rPr>
          <w:rFonts w:cs="Calibri"/>
        </w:rPr>
        <w:t>Test should be administered by someone with thorough knowledge of the exact administr</w:t>
      </w:r>
      <w:r w:rsidR="005757F7" w:rsidRPr="005463F4">
        <w:rPr>
          <w:rFonts w:cs="Calibri"/>
        </w:rPr>
        <w:t xml:space="preserve">ation and scoring procedures.  </w:t>
      </w:r>
      <w:r w:rsidRPr="005463F4">
        <w:rPr>
          <w:rFonts w:cs="Calibri"/>
        </w:rPr>
        <w:t>Administration time varies but comes to around 5 minutes per</w:t>
      </w:r>
      <w:r w:rsidR="00FF7B9F" w:rsidRPr="005463F4">
        <w:rPr>
          <w:rFonts w:cs="Calibri"/>
        </w:rPr>
        <w:t xml:space="preserve"> test for each battery.  Completing the entire standard battery</w:t>
      </w:r>
      <w:r w:rsidRPr="005463F4">
        <w:rPr>
          <w:rFonts w:cs="Calibri"/>
        </w:rPr>
        <w:t xml:space="preserve"> take</w:t>
      </w:r>
      <w:r w:rsidR="00FF7B9F" w:rsidRPr="005463F4">
        <w:rPr>
          <w:rFonts w:cs="Calibri"/>
        </w:rPr>
        <w:t>s approximately</w:t>
      </w:r>
      <w:r w:rsidRPr="005463F4">
        <w:rPr>
          <w:rFonts w:cs="Calibri"/>
        </w:rPr>
        <w:t xml:space="preserve"> 55-6</w:t>
      </w:r>
      <w:r w:rsidR="00A61021">
        <w:rPr>
          <w:rFonts w:cs="Calibri"/>
        </w:rPr>
        <w:t xml:space="preserve">5 minutes. </w:t>
      </w:r>
      <w:r w:rsidRPr="005463F4">
        <w:rPr>
          <w:rFonts w:cs="Calibri"/>
        </w:rPr>
        <w:t>Scores should be interpreted by someone with graduate-level tra</w:t>
      </w:r>
      <w:r w:rsidR="00A61021">
        <w:rPr>
          <w:rFonts w:cs="Calibri"/>
        </w:rPr>
        <w:t xml:space="preserve">ining in education assessment. </w:t>
      </w:r>
    </w:p>
    <w:p w:rsidR="00140195" w:rsidRPr="005463F4" w:rsidRDefault="00140195" w:rsidP="00140195">
      <w:pPr>
        <w:spacing w:after="120"/>
        <w:rPr>
          <w:rFonts w:cs="Calibri"/>
          <w:b/>
        </w:rPr>
      </w:pPr>
      <w:r w:rsidRPr="005463F4">
        <w:rPr>
          <w:rFonts w:cs="Calibri"/>
          <w:b/>
        </w:rPr>
        <w:t>COMMENTS</w:t>
      </w:r>
    </w:p>
    <w:p w:rsidR="005740C4" w:rsidRPr="005463F4" w:rsidRDefault="005740C4" w:rsidP="00140195">
      <w:pPr>
        <w:spacing w:after="120"/>
        <w:rPr>
          <w:rFonts w:cs="Calibri"/>
        </w:rPr>
      </w:pPr>
      <w:r w:rsidRPr="005463F4">
        <w:rPr>
          <w:rFonts w:cs="Calibri"/>
        </w:rPr>
        <w:t>The test is appropriate for persons age 2 through 90+</w:t>
      </w:r>
      <w:r w:rsidR="00FF7B9F" w:rsidRPr="005463F4">
        <w:rPr>
          <w:rFonts w:cs="Calibri"/>
        </w:rPr>
        <w:t xml:space="preserve"> (grades kindergarten through graduate school)</w:t>
      </w:r>
      <w:r w:rsidRPr="005463F4">
        <w:rPr>
          <w:rFonts w:cs="Calibri"/>
        </w:rPr>
        <w:t>.</w:t>
      </w:r>
    </w:p>
    <w:p w:rsidR="00140195" w:rsidRPr="005463F4" w:rsidRDefault="00140195" w:rsidP="00F86498">
      <w:pPr>
        <w:pStyle w:val="Heading3"/>
      </w:pPr>
      <w:r w:rsidRPr="005463F4">
        <w:t>RATIONALE</w:t>
      </w:r>
    </w:p>
    <w:p w:rsidR="005740C4" w:rsidRPr="005463F4" w:rsidRDefault="00E8578C" w:rsidP="00140195">
      <w:pPr>
        <w:spacing w:after="120"/>
        <w:rPr>
          <w:rFonts w:cs="Calibri"/>
        </w:rPr>
      </w:pPr>
      <w:r w:rsidRPr="005463F4">
        <w:rPr>
          <w:rFonts w:cs="Calibri"/>
        </w:rPr>
        <w:t>“</w:t>
      </w:r>
      <w:r w:rsidR="005740C4" w:rsidRPr="005463F4">
        <w:rPr>
          <w:rFonts w:cs="Calibri"/>
        </w:rPr>
        <w:t xml:space="preserve">The WJ-III is extensively normed </w:t>
      </w:r>
      <w:r w:rsidRPr="005463F4">
        <w:rPr>
          <w:rFonts w:cs="Calibri"/>
        </w:rPr>
        <w:t xml:space="preserve">and has </w:t>
      </w:r>
      <w:r w:rsidR="005740C4" w:rsidRPr="005463F4">
        <w:rPr>
          <w:rFonts w:cs="Calibri"/>
        </w:rPr>
        <w:t xml:space="preserve">strong psychometric </w:t>
      </w:r>
      <w:r w:rsidR="00FF7B9F" w:rsidRPr="005463F4">
        <w:rPr>
          <w:rFonts w:cs="Calibri"/>
        </w:rPr>
        <w:t>properties</w:t>
      </w:r>
      <w:r w:rsidR="005740C4" w:rsidRPr="005463F4">
        <w:rPr>
          <w:rFonts w:cs="Calibri"/>
        </w:rPr>
        <w:t>.</w:t>
      </w:r>
      <w:r w:rsidRPr="005463F4">
        <w:rPr>
          <w:rFonts w:cs="Calibri"/>
        </w:rPr>
        <w:t xml:space="preserve"> … </w:t>
      </w:r>
      <w:r w:rsidR="005740C4" w:rsidRPr="005463F4">
        <w:rPr>
          <w:rFonts w:cs="Calibri"/>
        </w:rPr>
        <w:t xml:space="preserve"> The earlier version of this measure was us</w:t>
      </w:r>
      <w:r w:rsidR="00F86498">
        <w:rPr>
          <w:rFonts w:cs="Calibri"/>
        </w:rPr>
        <w:t xml:space="preserve">ed in several outcome studies. </w:t>
      </w:r>
      <w:r w:rsidR="005740C4" w:rsidRPr="005463F4">
        <w:rPr>
          <w:rFonts w:cs="Calibri"/>
        </w:rPr>
        <w:t>Subtests of the current revision of this measure have been used in pediatric TBI outcome studies.</w:t>
      </w:r>
      <w:r w:rsidRPr="005463F4">
        <w:rPr>
          <w:rFonts w:cs="Calibri"/>
        </w:rPr>
        <w:t>” - McCauley et al. 2012</w:t>
      </w:r>
    </w:p>
    <w:p w:rsidR="00140195" w:rsidRPr="005463F4" w:rsidRDefault="00A61021" w:rsidP="00F86498">
      <w:pPr>
        <w:pStyle w:val="Heading3"/>
      </w:pPr>
      <w:r>
        <w:t>REFERENCES</w:t>
      </w:r>
    </w:p>
    <w:p w:rsidR="005740C4" w:rsidRPr="005463F4" w:rsidRDefault="005740C4" w:rsidP="005740C4">
      <w:pPr>
        <w:rPr>
          <w:rFonts w:cs="Calibri"/>
        </w:rPr>
      </w:pPr>
      <w:r w:rsidRPr="005463F4">
        <w:rPr>
          <w:rFonts w:cs="Calibri"/>
        </w:rPr>
        <w:t>Woodcock, R., McGrew, K., and Mather, N. (2001). Woodcock-Johnson Tests of Achievement, 3rd edition, manual (Third ed.). Riverside Publishing: Itasca, IL.</w:t>
      </w:r>
    </w:p>
    <w:p w:rsidR="005740C4" w:rsidRPr="005463F4" w:rsidRDefault="005740C4" w:rsidP="005740C4">
      <w:pPr>
        <w:rPr>
          <w:rFonts w:cs="Calibri"/>
        </w:rPr>
      </w:pPr>
      <w:r w:rsidRPr="005463F4">
        <w:rPr>
          <w:rFonts w:cs="Calibri"/>
        </w:rPr>
        <w:t>Schrank, F., McGrew, K., Ruef, M., Alvarado, C., Muñoz-Sandoval, A., and Woodcock, R. (2005). Batería III Woodcock-Muñoz Assessment Service Bulletin Number 1: Overview and Technical Supplement. Itasca, IL: Riverside Publishing.</w:t>
      </w:r>
    </w:p>
    <w:p w:rsidR="005740C4" w:rsidRPr="005463F4" w:rsidRDefault="005740C4" w:rsidP="005740C4">
      <w:pPr>
        <w:rPr>
          <w:rFonts w:cs="Calibri"/>
        </w:rPr>
      </w:pPr>
      <w:r w:rsidRPr="005463F4">
        <w:rPr>
          <w:rFonts w:cs="Calibri"/>
        </w:rPr>
        <w:t>Woodcock, R., McGrew, K., and Mather, N. (1989). Woodcock-Johnson Tests of Achievement-- revised. Manual. Riverside Publishing: Itasca, IL.</w:t>
      </w:r>
    </w:p>
    <w:p w:rsidR="005740C4" w:rsidRPr="005463F4" w:rsidRDefault="005740C4" w:rsidP="005740C4">
      <w:pPr>
        <w:rPr>
          <w:rFonts w:cs="Calibri"/>
        </w:rPr>
      </w:pPr>
      <w:r w:rsidRPr="005463F4">
        <w:rPr>
          <w:rFonts w:cs="Calibri"/>
        </w:rPr>
        <w:t>Fay, T., Yeates, K., Wade, S., Drotar, D., Stancin, T., and Taylor, E. (2009). Predicting longitudinal patterns of functional deficits in children with traumatic brain injury. Neuropsychology 23(3), 271-282.</w:t>
      </w:r>
    </w:p>
    <w:p w:rsidR="005740C4" w:rsidRPr="005463F4" w:rsidRDefault="005740C4" w:rsidP="005740C4">
      <w:pPr>
        <w:rPr>
          <w:rFonts w:cs="Calibri"/>
        </w:rPr>
      </w:pPr>
      <w:r w:rsidRPr="005463F4">
        <w:rPr>
          <w:rFonts w:cs="Calibri"/>
        </w:rPr>
        <w:t>Taylor, H., Yeates, K., Wade, S., Drotar, D., Klein, S., and Stancin, T. (1999). Influences on first-year recovery from traumatic brain injury in children. Neuropsychology 13, 76-89.</w:t>
      </w:r>
    </w:p>
    <w:p w:rsidR="00FF7B9F" w:rsidRPr="005463F4" w:rsidRDefault="00FF7B9F" w:rsidP="00FF7B9F">
      <w:pPr>
        <w:rPr>
          <w:rFonts w:cs="Calibri"/>
        </w:rPr>
      </w:pPr>
      <w:r w:rsidRPr="005463F4">
        <w:rPr>
          <w:rFonts w:cs="Calibri"/>
        </w:rPr>
        <w:t xml:space="preserve">Nelson Education. WJ III Tests of Achievement, Form B with Normative Update. Retrieved July 10, 2012, from </w:t>
      </w:r>
      <w:hyperlink r:id="rId10" w:history="1">
        <w:r w:rsidR="00D43454">
          <w:rPr>
            <w:rStyle w:val="Hyperlink"/>
            <w:rFonts w:cs="Calibri"/>
            <w:color w:val="auto"/>
          </w:rPr>
          <w:t xml:space="preserve">Nelson Education Woodcock Johnson Tests of Achievement Training Materials </w:t>
        </w:r>
      </w:hyperlink>
    </w:p>
    <w:p w:rsidR="005740C4" w:rsidRPr="005463F4" w:rsidRDefault="005740C4" w:rsidP="005740C4">
      <w:pPr>
        <w:rPr>
          <w:rFonts w:cs="Calibri"/>
        </w:rPr>
      </w:pPr>
      <w:r w:rsidRPr="005463F4">
        <w:rPr>
          <w:rFonts w:cs="Calibri"/>
        </w:rPr>
        <w:lastRenderedPageBreak/>
        <w:t>Taylor, H., Yeates, K., Wade, S., Drotar, D., Stancin, T., and Minich, N. (2002). A prospective study of short- and long-term outcomes after traumatic brain injury in children: behavior and achievement. Neuropsychology 16, 15-27.</w:t>
      </w:r>
    </w:p>
    <w:p w:rsidR="005740C4" w:rsidRPr="005463F4" w:rsidRDefault="005740C4" w:rsidP="005740C4">
      <w:pPr>
        <w:rPr>
          <w:rFonts w:cs="Calibri"/>
        </w:rPr>
      </w:pPr>
      <w:r w:rsidRPr="005463F4">
        <w:rPr>
          <w:rFonts w:cs="Calibri"/>
        </w:rPr>
        <w:t>Yeates, K., and Taylor, H. (1997). Predicting premorbid neuropsychological functioning following pediatric traumatic brain injury. J Clin Exp Neuropsychol 19, 825-837.</w:t>
      </w:r>
    </w:p>
    <w:p w:rsidR="005740C4" w:rsidRPr="005463F4" w:rsidRDefault="005740C4" w:rsidP="005740C4">
      <w:pPr>
        <w:rPr>
          <w:rFonts w:cs="Calibri"/>
        </w:rPr>
      </w:pPr>
      <w:r w:rsidRPr="005463F4">
        <w:rPr>
          <w:rFonts w:cs="Calibri"/>
        </w:rPr>
        <w:t>Ewing-Cobbs, L., Prasad, M., Swank, P., Kramar, L., Cox, C., Fletcher, J., Barnes, M., and Zhang, X. (2008). Arrested development and disrupted callosal microstructure following pediatric traumatic brain injury: relation to neurobehavioral outcomes. Neuroimage 42(4), 1305-1315.</w:t>
      </w:r>
    </w:p>
    <w:p w:rsidR="005740C4" w:rsidRPr="005463F4" w:rsidRDefault="005740C4" w:rsidP="005740C4">
      <w:pPr>
        <w:rPr>
          <w:rFonts w:cs="Calibri"/>
        </w:rPr>
      </w:pPr>
      <w:r w:rsidRPr="005463F4">
        <w:rPr>
          <w:rFonts w:cs="Calibri"/>
        </w:rPr>
        <w:t>Ewing-Cobbs, L., Prasad, M., Kramar, L., Cox, C., Baumgartner, J., Fletcher, J., Mendez, D., Barnes, M., Zhang, X., and Swank, P. (2006). Late-intellectual and academic outcomes following traumatic brain injury sustained during early childhood. J Neurosurg 105(Suppl 4), 287-296.</w:t>
      </w:r>
    </w:p>
    <w:p w:rsidR="005740C4" w:rsidRPr="005463F4" w:rsidRDefault="005740C4" w:rsidP="005740C4">
      <w:pPr>
        <w:rPr>
          <w:rFonts w:cs="Calibri"/>
        </w:rPr>
      </w:pPr>
      <w:r w:rsidRPr="005463F4">
        <w:rPr>
          <w:rFonts w:cs="Calibri"/>
        </w:rPr>
        <w:t>Ewing-Cobbs, L., Hasan, K., Prasad, M., Kramar, L., and Bachevalier, J. (2006). Relation of corpus callosum diffusion anisotropy and neuropsychological outcomes in twins disconcordant for traumatic brain injury. Am J Neuroradiol 27, 879-881.</w:t>
      </w:r>
    </w:p>
    <w:p w:rsidR="00DB0C27" w:rsidRPr="005463F4" w:rsidRDefault="005740C4" w:rsidP="005740C4">
      <w:pPr>
        <w:rPr>
          <w:rFonts w:cs="Calibri"/>
        </w:rPr>
      </w:pPr>
      <w:r w:rsidRPr="005463F4">
        <w:rPr>
          <w:rFonts w:cs="Calibri"/>
        </w:rPr>
        <w:t>Taylor, H., Swartwout, M., Yeates, K., Walz, N., Stancin, T., and Wade, S. (2008). Traumatic brain injury in young children: postacute effects on cognitive and school readiness skills. J Int Neuropsychol Soc 14(5), 734-745.</w:t>
      </w:r>
    </w:p>
    <w:sectPr w:rsidR="00DB0C27" w:rsidRPr="005463F4" w:rsidSect="003D59B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516" w:rsidRDefault="007F1516" w:rsidP="003256BA">
      <w:pPr>
        <w:spacing w:after="0" w:line="240" w:lineRule="auto"/>
      </w:pPr>
      <w:r>
        <w:separator/>
      </w:r>
    </w:p>
  </w:endnote>
  <w:endnote w:type="continuationSeparator" w:id="0">
    <w:p w:rsidR="007F1516" w:rsidRDefault="007F1516" w:rsidP="0032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C27" w:rsidRDefault="00DB0C27">
    <w:pPr>
      <w:pStyle w:val="Footer"/>
      <w:jc w:val="center"/>
    </w:pPr>
    <w:r>
      <w:fldChar w:fldCharType="begin"/>
    </w:r>
    <w:r>
      <w:instrText xml:space="preserve"> PAGE   \* MERGEFORMAT </w:instrText>
    </w:r>
    <w:r>
      <w:fldChar w:fldCharType="separate"/>
    </w:r>
    <w:r w:rsidR="00C43DF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516" w:rsidRDefault="007F1516" w:rsidP="003256BA">
      <w:pPr>
        <w:spacing w:after="0" w:line="240" w:lineRule="auto"/>
      </w:pPr>
      <w:r>
        <w:separator/>
      </w:r>
    </w:p>
  </w:footnote>
  <w:footnote w:type="continuationSeparator" w:id="0">
    <w:p w:rsidR="007F1516" w:rsidRDefault="007F1516" w:rsidP="00325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2620"/>
    <w:multiLevelType w:val="hybridMultilevel"/>
    <w:tmpl w:val="6A2C7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07DA4"/>
    <w:multiLevelType w:val="multilevel"/>
    <w:tmpl w:val="BB985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05A35"/>
    <w:multiLevelType w:val="hybridMultilevel"/>
    <w:tmpl w:val="3A402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14476"/>
    <w:multiLevelType w:val="hybridMultilevel"/>
    <w:tmpl w:val="33629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71130"/>
    <w:multiLevelType w:val="hybridMultilevel"/>
    <w:tmpl w:val="B5ECD3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47F50"/>
    <w:multiLevelType w:val="hybridMultilevel"/>
    <w:tmpl w:val="CFC8C4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F43A2"/>
    <w:multiLevelType w:val="hybridMultilevel"/>
    <w:tmpl w:val="F05232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8E72F7"/>
    <w:multiLevelType w:val="hybridMultilevel"/>
    <w:tmpl w:val="E55A5C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EE14FD"/>
    <w:multiLevelType w:val="hybridMultilevel"/>
    <w:tmpl w:val="5A249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A3F97"/>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A570C"/>
    <w:multiLevelType w:val="hybridMultilevel"/>
    <w:tmpl w:val="3376B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420597"/>
    <w:multiLevelType w:val="hybridMultilevel"/>
    <w:tmpl w:val="9D789D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61673F"/>
    <w:multiLevelType w:val="hybridMultilevel"/>
    <w:tmpl w:val="5A48E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25C5A"/>
    <w:multiLevelType w:val="hybridMultilevel"/>
    <w:tmpl w:val="4404D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4F18D2"/>
    <w:multiLevelType w:val="multilevel"/>
    <w:tmpl w:val="AB0A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802AC9"/>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C02253"/>
    <w:multiLevelType w:val="hybridMultilevel"/>
    <w:tmpl w:val="970069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396B9A"/>
    <w:multiLevelType w:val="hybridMultilevel"/>
    <w:tmpl w:val="898C5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EA5272"/>
    <w:multiLevelType w:val="hybridMultilevel"/>
    <w:tmpl w:val="F12CC434"/>
    <w:lvl w:ilvl="0" w:tplc="9A4A7D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10DBF"/>
    <w:multiLevelType w:val="hybridMultilevel"/>
    <w:tmpl w:val="1B167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747C42"/>
    <w:multiLevelType w:val="hybridMultilevel"/>
    <w:tmpl w:val="7610AB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561820"/>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B07BE4"/>
    <w:multiLevelType w:val="hybridMultilevel"/>
    <w:tmpl w:val="9FF62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7205FB"/>
    <w:multiLevelType w:val="hybridMultilevel"/>
    <w:tmpl w:val="AA7C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4D60FB"/>
    <w:multiLevelType w:val="hybridMultilevel"/>
    <w:tmpl w:val="D32003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4541D6"/>
    <w:multiLevelType w:val="hybridMultilevel"/>
    <w:tmpl w:val="5308F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97341B"/>
    <w:multiLevelType w:val="hybridMultilevel"/>
    <w:tmpl w:val="C596B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9D6B2B"/>
    <w:multiLevelType w:val="multilevel"/>
    <w:tmpl w:val="1BC6F6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B85BE9"/>
    <w:multiLevelType w:val="hybridMultilevel"/>
    <w:tmpl w:val="73CA9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27"/>
  </w:num>
  <w:num w:numId="4">
    <w:abstractNumId w:val="10"/>
  </w:num>
  <w:num w:numId="5">
    <w:abstractNumId w:val="25"/>
  </w:num>
  <w:num w:numId="6">
    <w:abstractNumId w:val="18"/>
  </w:num>
  <w:num w:numId="7">
    <w:abstractNumId w:val="21"/>
  </w:num>
  <w:num w:numId="8">
    <w:abstractNumId w:val="9"/>
  </w:num>
  <w:num w:numId="9">
    <w:abstractNumId w:val="15"/>
  </w:num>
  <w:num w:numId="10">
    <w:abstractNumId w:val="23"/>
  </w:num>
  <w:num w:numId="11">
    <w:abstractNumId w:val="12"/>
  </w:num>
  <w:num w:numId="12">
    <w:abstractNumId w:val="2"/>
  </w:num>
  <w:num w:numId="13">
    <w:abstractNumId w:val="4"/>
  </w:num>
  <w:num w:numId="14">
    <w:abstractNumId w:val="13"/>
  </w:num>
  <w:num w:numId="15">
    <w:abstractNumId w:val="19"/>
  </w:num>
  <w:num w:numId="16">
    <w:abstractNumId w:val="11"/>
  </w:num>
  <w:num w:numId="17">
    <w:abstractNumId w:val="26"/>
  </w:num>
  <w:num w:numId="18">
    <w:abstractNumId w:val="28"/>
  </w:num>
  <w:num w:numId="19">
    <w:abstractNumId w:val="16"/>
  </w:num>
  <w:num w:numId="20">
    <w:abstractNumId w:val="3"/>
  </w:num>
  <w:num w:numId="21">
    <w:abstractNumId w:val="8"/>
  </w:num>
  <w:num w:numId="22">
    <w:abstractNumId w:val="5"/>
  </w:num>
  <w:num w:numId="23">
    <w:abstractNumId w:val="6"/>
  </w:num>
  <w:num w:numId="24">
    <w:abstractNumId w:val="7"/>
  </w:num>
  <w:num w:numId="25">
    <w:abstractNumId w:val="20"/>
  </w:num>
  <w:num w:numId="26">
    <w:abstractNumId w:val="17"/>
  </w:num>
  <w:num w:numId="27">
    <w:abstractNumId w:val="0"/>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2DF"/>
    <w:rsid w:val="00005423"/>
    <w:rsid w:val="000166F1"/>
    <w:rsid w:val="00036648"/>
    <w:rsid w:val="00037E1A"/>
    <w:rsid w:val="000520AD"/>
    <w:rsid w:val="00061AB7"/>
    <w:rsid w:val="00067485"/>
    <w:rsid w:val="000856DD"/>
    <w:rsid w:val="000923C6"/>
    <w:rsid w:val="000A32B5"/>
    <w:rsid w:val="000C103F"/>
    <w:rsid w:val="000C677D"/>
    <w:rsid w:val="000E103B"/>
    <w:rsid w:val="000E4D62"/>
    <w:rsid w:val="00105870"/>
    <w:rsid w:val="00133519"/>
    <w:rsid w:val="00137957"/>
    <w:rsid w:val="00140195"/>
    <w:rsid w:val="00151EE1"/>
    <w:rsid w:val="001842BA"/>
    <w:rsid w:val="00186B84"/>
    <w:rsid w:val="001A1472"/>
    <w:rsid w:val="001B190F"/>
    <w:rsid w:val="001B3019"/>
    <w:rsid w:val="001C3A62"/>
    <w:rsid w:val="001D4F0B"/>
    <w:rsid w:val="00201DB9"/>
    <w:rsid w:val="0022540E"/>
    <w:rsid w:val="0023143B"/>
    <w:rsid w:val="00235B09"/>
    <w:rsid w:val="00257409"/>
    <w:rsid w:val="0026399F"/>
    <w:rsid w:val="0026667A"/>
    <w:rsid w:val="002705F5"/>
    <w:rsid w:val="00272AF0"/>
    <w:rsid w:val="002772D0"/>
    <w:rsid w:val="00283B0C"/>
    <w:rsid w:val="002A76D8"/>
    <w:rsid w:val="002B2DCC"/>
    <w:rsid w:val="002C18AD"/>
    <w:rsid w:val="002E0240"/>
    <w:rsid w:val="002F045A"/>
    <w:rsid w:val="003017B7"/>
    <w:rsid w:val="00310A10"/>
    <w:rsid w:val="0032333B"/>
    <w:rsid w:val="003256BA"/>
    <w:rsid w:val="00331FE7"/>
    <w:rsid w:val="00362150"/>
    <w:rsid w:val="003632F5"/>
    <w:rsid w:val="0038142D"/>
    <w:rsid w:val="00386007"/>
    <w:rsid w:val="00390AFC"/>
    <w:rsid w:val="00397664"/>
    <w:rsid w:val="003A10E2"/>
    <w:rsid w:val="003A684C"/>
    <w:rsid w:val="003A71F0"/>
    <w:rsid w:val="003C1198"/>
    <w:rsid w:val="003C5959"/>
    <w:rsid w:val="003D1229"/>
    <w:rsid w:val="003D1E85"/>
    <w:rsid w:val="003D59B6"/>
    <w:rsid w:val="003D6B82"/>
    <w:rsid w:val="003E6CB2"/>
    <w:rsid w:val="003F48E0"/>
    <w:rsid w:val="00407ED8"/>
    <w:rsid w:val="00412771"/>
    <w:rsid w:val="00416C28"/>
    <w:rsid w:val="00425DCE"/>
    <w:rsid w:val="00431050"/>
    <w:rsid w:val="00436F2C"/>
    <w:rsid w:val="00440B65"/>
    <w:rsid w:val="00446D34"/>
    <w:rsid w:val="00451F71"/>
    <w:rsid w:val="00472EB4"/>
    <w:rsid w:val="004A01CD"/>
    <w:rsid w:val="004A1A0B"/>
    <w:rsid w:val="004A6DFA"/>
    <w:rsid w:val="004A7991"/>
    <w:rsid w:val="004B766F"/>
    <w:rsid w:val="004E73A8"/>
    <w:rsid w:val="005114AB"/>
    <w:rsid w:val="005463F4"/>
    <w:rsid w:val="00552A1A"/>
    <w:rsid w:val="00556DD8"/>
    <w:rsid w:val="0057055B"/>
    <w:rsid w:val="00571C71"/>
    <w:rsid w:val="005740C4"/>
    <w:rsid w:val="00575537"/>
    <w:rsid w:val="005757F7"/>
    <w:rsid w:val="00577465"/>
    <w:rsid w:val="005779AF"/>
    <w:rsid w:val="00595C38"/>
    <w:rsid w:val="00597B14"/>
    <w:rsid w:val="005A7A94"/>
    <w:rsid w:val="005D1371"/>
    <w:rsid w:val="005D3954"/>
    <w:rsid w:val="005E172F"/>
    <w:rsid w:val="005F2C7C"/>
    <w:rsid w:val="005F4802"/>
    <w:rsid w:val="0061104A"/>
    <w:rsid w:val="006126F3"/>
    <w:rsid w:val="00622D88"/>
    <w:rsid w:val="00641332"/>
    <w:rsid w:val="0064276E"/>
    <w:rsid w:val="00656917"/>
    <w:rsid w:val="0066648B"/>
    <w:rsid w:val="00696DB8"/>
    <w:rsid w:val="006A6ED8"/>
    <w:rsid w:val="006A751D"/>
    <w:rsid w:val="006B58A1"/>
    <w:rsid w:val="006C5CAF"/>
    <w:rsid w:val="006D24E0"/>
    <w:rsid w:val="006E1D8C"/>
    <w:rsid w:val="006F24CB"/>
    <w:rsid w:val="006F327D"/>
    <w:rsid w:val="006F58D1"/>
    <w:rsid w:val="00715490"/>
    <w:rsid w:val="00715E1B"/>
    <w:rsid w:val="00720326"/>
    <w:rsid w:val="0073451E"/>
    <w:rsid w:val="00747374"/>
    <w:rsid w:val="00747B7F"/>
    <w:rsid w:val="00757EB8"/>
    <w:rsid w:val="00761F5E"/>
    <w:rsid w:val="00790876"/>
    <w:rsid w:val="0079543B"/>
    <w:rsid w:val="00797628"/>
    <w:rsid w:val="007A1862"/>
    <w:rsid w:val="007A76D2"/>
    <w:rsid w:val="007B3BBE"/>
    <w:rsid w:val="007E34DA"/>
    <w:rsid w:val="007E4AC4"/>
    <w:rsid w:val="007F1516"/>
    <w:rsid w:val="008122AB"/>
    <w:rsid w:val="00813199"/>
    <w:rsid w:val="0082143F"/>
    <w:rsid w:val="00822F2B"/>
    <w:rsid w:val="0083461E"/>
    <w:rsid w:val="00837790"/>
    <w:rsid w:val="008517B1"/>
    <w:rsid w:val="00865F08"/>
    <w:rsid w:val="008711D5"/>
    <w:rsid w:val="00872036"/>
    <w:rsid w:val="00892BFF"/>
    <w:rsid w:val="0089414D"/>
    <w:rsid w:val="00896C1C"/>
    <w:rsid w:val="00897876"/>
    <w:rsid w:val="00897A76"/>
    <w:rsid w:val="008D53AA"/>
    <w:rsid w:val="008E024A"/>
    <w:rsid w:val="008F3218"/>
    <w:rsid w:val="008F563C"/>
    <w:rsid w:val="00915661"/>
    <w:rsid w:val="00951C57"/>
    <w:rsid w:val="0095430C"/>
    <w:rsid w:val="00957C3D"/>
    <w:rsid w:val="009877E3"/>
    <w:rsid w:val="00991449"/>
    <w:rsid w:val="00994F6F"/>
    <w:rsid w:val="009D6578"/>
    <w:rsid w:val="009E2D7C"/>
    <w:rsid w:val="009E4116"/>
    <w:rsid w:val="009F3D95"/>
    <w:rsid w:val="00A01395"/>
    <w:rsid w:val="00A05C6B"/>
    <w:rsid w:val="00A113F5"/>
    <w:rsid w:val="00A11547"/>
    <w:rsid w:val="00A342B0"/>
    <w:rsid w:val="00A354C6"/>
    <w:rsid w:val="00A43D8E"/>
    <w:rsid w:val="00A50916"/>
    <w:rsid w:val="00A545A0"/>
    <w:rsid w:val="00A5484A"/>
    <w:rsid w:val="00A549D1"/>
    <w:rsid w:val="00A61021"/>
    <w:rsid w:val="00A668FE"/>
    <w:rsid w:val="00A771A0"/>
    <w:rsid w:val="00A77ED9"/>
    <w:rsid w:val="00A80552"/>
    <w:rsid w:val="00A91A68"/>
    <w:rsid w:val="00A942DF"/>
    <w:rsid w:val="00AA00DC"/>
    <w:rsid w:val="00AC68C0"/>
    <w:rsid w:val="00AD42B7"/>
    <w:rsid w:val="00AE19BF"/>
    <w:rsid w:val="00B146A6"/>
    <w:rsid w:val="00B33EFA"/>
    <w:rsid w:val="00B34FCC"/>
    <w:rsid w:val="00B35A36"/>
    <w:rsid w:val="00B37CE3"/>
    <w:rsid w:val="00B50270"/>
    <w:rsid w:val="00B55883"/>
    <w:rsid w:val="00B652AB"/>
    <w:rsid w:val="00B71CE2"/>
    <w:rsid w:val="00B74F2C"/>
    <w:rsid w:val="00B808CD"/>
    <w:rsid w:val="00B80EE0"/>
    <w:rsid w:val="00B840F4"/>
    <w:rsid w:val="00B92FE1"/>
    <w:rsid w:val="00BA177D"/>
    <w:rsid w:val="00BB167B"/>
    <w:rsid w:val="00BD7D4C"/>
    <w:rsid w:val="00BE295B"/>
    <w:rsid w:val="00C02CD4"/>
    <w:rsid w:val="00C1442F"/>
    <w:rsid w:val="00C2350A"/>
    <w:rsid w:val="00C33986"/>
    <w:rsid w:val="00C43DF6"/>
    <w:rsid w:val="00C638D1"/>
    <w:rsid w:val="00C657EB"/>
    <w:rsid w:val="00C6740D"/>
    <w:rsid w:val="00C80913"/>
    <w:rsid w:val="00C83AC8"/>
    <w:rsid w:val="00C926B3"/>
    <w:rsid w:val="00CD0BC4"/>
    <w:rsid w:val="00CD5942"/>
    <w:rsid w:val="00CE6A31"/>
    <w:rsid w:val="00CE74F6"/>
    <w:rsid w:val="00CF3C01"/>
    <w:rsid w:val="00D43454"/>
    <w:rsid w:val="00D44C4D"/>
    <w:rsid w:val="00D468A6"/>
    <w:rsid w:val="00D5056E"/>
    <w:rsid w:val="00D61192"/>
    <w:rsid w:val="00D64F5A"/>
    <w:rsid w:val="00D70971"/>
    <w:rsid w:val="00D84A13"/>
    <w:rsid w:val="00D942BF"/>
    <w:rsid w:val="00DB0C27"/>
    <w:rsid w:val="00DD6BA1"/>
    <w:rsid w:val="00DD6C49"/>
    <w:rsid w:val="00DF5B07"/>
    <w:rsid w:val="00E0090D"/>
    <w:rsid w:val="00E20EB1"/>
    <w:rsid w:val="00E41FF2"/>
    <w:rsid w:val="00E51D1C"/>
    <w:rsid w:val="00E53B4C"/>
    <w:rsid w:val="00E712E2"/>
    <w:rsid w:val="00E81958"/>
    <w:rsid w:val="00E8578C"/>
    <w:rsid w:val="00E85E53"/>
    <w:rsid w:val="00EB5061"/>
    <w:rsid w:val="00EB77F3"/>
    <w:rsid w:val="00EF4835"/>
    <w:rsid w:val="00F173F8"/>
    <w:rsid w:val="00F17B5E"/>
    <w:rsid w:val="00F22CE7"/>
    <w:rsid w:val="00F3362D"/>
    <w:rsid w:val="00F407D7"/>
    <w:rsid w:val="00F517A6"/>
    <w:rsid w:val="00F858AE"/>
    <w:rsid w:val="00F86498"/>
    <w:rsid w:val="00F95300"/>
    <w:rsid w:val="00FA6A1A"/>
    <w:rsid w:val="00FB29AD"/>
    <w:rsid w:val="00FC3DFE"/>
    <w:rsid w:val="00FD2B2F"/>
    <w:rsid w:val="00FD6879"/>
    <w:rsid w:val="00FE0D91"/>
    <w:rsid w:val="00FE1FF0"/>
    <w:rsid w:val="00FE3A9C"/>
    <w:rsid w:val="00FE5182"/>
    <w:rsid w:val="00FF2F90"/>
    <w:rsid w:val="00FF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22CD7-FA2F-460E-BB88-AE6ED640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70"/>
    <w:pPr>
      <w:spacing w:after="200" w:line="276" w:lineRule="auto"/>
    </w:pPr>
    <w:rPr>
      <w:sz w:val="22"/>
      <w:szCs w:val="22"/>
    </w:rPr>
  </w:style>
  <w:style w:type="paragraph" w:styleId="Heading1">
    <w:name w:val="heading 1"/>
    <w:basedOn w:val="Normal"/>
    <w:next w:val="Normal"/>
    <w:link w:val="Heading1Char"/>
    <w:uiPriority w:val="9"/>
    <w:qFormat/>
    <w:rsid w:val="00A61021"/>
    <w:pPr>
      <w:spacing w:after="0"/>
      <w:jc w:val="center"/>
      <w:outlineLvl w:val="0"/>
    </w:pPr>
    <w:rPr>
      <w:rFonts w:cs="Calibri"/>
      <w:b/>
      <w:sz w:val="28"/>
      <w:szCs w:val="28"/>
    </w:rPr>
  </w:style>
  <w:style w:type="paragraph" w:styleId="Heading2">
    <w:name w:val="heading 2"/>
    <w:basedOn w:val="Normal"/>
    <w:next w:val="Normal"/>
    <w:link w:val="Heading2Char"/>
    <w:uiPriority w:val="9"/>
    <w:unhideWhenUsed/>
    <w:qFormat/>
    <w:rsid w:val="00F86498"/>
    <w:pPr>
      <w:outlineLvl w:val="1"/>
    </w:pPr>
    <w:rPr>
      <w:rFonts w:cs="Calibri"/>
      <w:b/>
      <w:sz w:val="24"/>
      <w:szCs w:val="24"/>
    </w:rPr>
  </w:style>
  <w:style w:type="paragraph" w:styleId="Heading3">
    <w:name w:val="heading 3"/>
    <w:basedOn w:val="Normal"/>
    <w:next w:val="Default"/>
    <w:link w:val="Heading3Char"/>
    <w:uiPriority w:val="99"/>
    <w:qFormat/>
    <w:rsid w:val="00F86498"/>
    <w:pPr>
      <w:spacing w:after="120"/>
      <w:outlineLvl w:val="2"/>
    </w:pPr>
    <w:rPr>
      <w:rFonts w:cs="Calibri"/>
      <w:b/>
    </w:rPr>
  </w:style>
  <w:style w:type="paragraph" w:styleId="Heading4">
    <w:name w:val="heading 4"/>
    <w:basedOn w:val="Normal"/>
    <w:next w:val="Normal"/>
    <w:link w:val="Heading4Char"/>
    <w:uiPriority w:val="9"/>
    <w:semiHidden/>
    <w:unhideWhenUsed/>
    <w:qFormat/>
    <w:rsid w:val="0022540E"/>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rnl">
    <w:name w:val="jrnl"/>
    <w:basedOn w:val="DefaultParagraphFont"/>
    <w:rsid w:val="0073451E"/>
  </w:style>
  <w:style w:type="paragraph" w:customStyle="1" w:styleId="Default">
    <w:name w:val="Default"/>
    <w:rsid w:val="002B2DCC"/>
    <w:pPr>
      <w:autoSpaceDE w:val="0"/>
      <w:autoSpaceDN w:val="0"/>
      <w:adjustRightInd w:val="0"/>
    </w:pPr>
    <w:rPr>
      <w:rFonts w:ascii="Times New Roman" w:hAnsi="Times New Roman"/>
      <w:color w:val="000000"/>
      <w:sz w:val="24"/>
      <w:szCs w:val="24"/>
    </w:rPr>
  </w:style>
  <w:style w:type="character" w:customStyle="1" w:styleId="Heading3Char">
    <w:name w:val="Heading 3 Char"/>
    <w:link w:val="Heading3"/>
    <w:uiPriority w:val="99"/>
    <w:rsid w:val="00F86498"/>
    <w:rPr>
      <w:rFonts w:cs="Calibri"/>
      <w:b/>
      <w:sz w:val="22"/>
      <w:szCs w:val="22"/>
    </w:rPr>
  </w:style>
  <w:style w:type="character" w:styleId="Strong">
    <w:name w:val="Strong"/>
    <w:uiPriority w:val="22"/>
    <w:qFormat/>
    <w:rsid w:val="002B2DCC"/>
    <w:rPr>
      <w:b/>
      <w:bCs/>
    </w:rPr>
  </w:style>
  <w:style w:type="character" w:styleId="Hyperlink">
    <w:name w:val="Hyperlink"/>
    <w:uiPriority w:val="99"/>
    <w:unhideWhenUsed/>
    <w:rsid w:val="00A668FE"/>
    <w:rPr>
      <w:strike w:val="0"/>
      <w:dstrike w:val="0"/>
      <w:color w:val="0000FF"/>
      <w:u w:val="single"/>
      <w:effect w:val="none"/>
    </w:rPr>
  </w:style>
  <w:style w:type="character" w:customStyle="1" w:styleId="ncitalic1">
    <w:name w:val="ncitalic1"/>
    <w:rsid w:val="00A668FE"/>
    <w:rPr>
      <w:i/>
      <w:iCs/>
      <w:color w:val="000000"/>
    </w:rPr>
  </w:style>
  <w:style w:type="character" w:customStyle="1" w:styleId="meta">
    <w:name w:val="meta"/>
    <w:basedOn w:val="DefaultParagraphFont"/>
    <w:rsid w:val="00AD42B7"/>
  </w:style>
  <w:style w:type="character" w:styleId="FollowedHyperlink">
    <w:name w:val="FollowedHyperlink"/>
    <w:uiPriority w:val="99"/>
    <w:semiHidden/>
    <w:unhideWhenUsed/>
    <w:rsid w:val="006F58D1"/>
    <w:rPr>
      <w:color w:val="800080"/>
      <w:u w:val="single"/>
    </w:rPr>
  </w:style>
  <w:style w:type="character" w:customStyle="1" w:styleId="dnnalignleft">
    <w:name w:val="dnnalignleft"/>
    <w:basedOn w:val="DefaultParagraphFont"/>
    <w:rsid w:val="006F58D1"/>
  </w:style>
  <w:style w:type="character" w:customStyle="1" w:styleId="Heading4Char">
    <w:name w:val="Heading 4 Char"/>
    <w:link w:val="Heading4"/>
    <w:uiPriority w:val="9"/>
    <w:semiHidden/>
    <w:rsid w:val="0022540E"/>
    <w:rPr>
      <w:rFonts w:ascii="Calibri" w:eastAsia="Times New Roman" w:hAnsi="Calibri" w:cs="Times New Roman"/>
      <w:b/>
      <w:bCs/>
      <w:sz w:val="28"/>
      <w:szCs w:val="28"/>
    </w:rPr>
  </w:style>
  <w:style w:type="character" w:customStyle="1" w:styleId="ej-j-source">
    <w:name w:val="ej-j-source"/>
    <w:basedOn w:val="DefaultParagraphFont"/>
    <w:rsid w:val="0022540E"/>
  </w:style>
  <w:style w:type="paragraph" w:styleId="NormalWeb">
    <w:name w:val="Normal (Web)"/>
    <w:basedOn w:val="Normal"/>
    <w:uiPriority w:val="99"/>
    <w:semiHidden/>
    <w:unhideWhenUsed/>
    <w:rsid w:val="00331FE7"/>
    <w:pPr>
      <w:spacing w:before="100" w:beforeAutospacing="1" w:after="100" w:afterAutospacing="1" w:line="240" w:lineRule="auto"/>
    </w:pPr>
    <w:rPr>
      <w:rFonts w:ascii="Times New Roman" w:eastAsia="Times New Roman" w:hAnsi="Times New Roman"/>
      <w:sz w:val="24"/>
      <w:szCs w:val="24"/>
    </w:rPr>
  </w:style>
  <w:style w:type="character" w:customStyle="1" w:styleId="citedby">
    <w:name w:val="citedby_"/>
    <w:rsid w:val="00331FE7"/>
    <w:rPr>
      <w:sz w:val="24"/>
      <w:szCs w:val="24"/>
      <w:bdr w:val="none" w:sz="0" w:space="0" w:color="auto" w:frame="1"/>
      <w:vertAlign w:val="baseline"/>
    </w:rPr>
  </w:style>
  <w:style w:type="character" w:styleId="CommentReference">
    <w:name w:val="annotation reference"/>
    <w:uiPriority w:val="99"/>
    <w:semiHidden/>
    <w:unhideWhenUsed/>
    <w:rsid w:val="00D468A6"/>
    <w:rPr>
      <w:sz w:val="16"/>
      <w:szCs w:val="16"/>
    </w:rPr>
  </w:style>
  <w:style w:type="paragraph" w:styleId="CommentText">
    <w:name w:val="annotation text"/>
    <w:basedOn w:val="Normal"/>
    <w:link w:val="CommentTextChar"/>
    <w:uiPriority w:val="99"/>
    <w:semiHidden/>
    <w:unhideWhenUsed/>
    <w:rsid w:val="00D468A6"/>
    <w:rPr>
      <w:sz w:val="20"/>
      <w:szCs w:val="20"/>
    </w:rPr>
  </w:style>
  <w:style w:type="character" w:customStyle="1" w:styleId="CommentTextChar">
    <w:name w:val="Comment Text Char"/>
    <w:basedOn w:val="DefaultParagraphFont"/>
    <w:link w:val="CommentText"/>
    <w:uiPriority w:val="99"/>
    <w:semiHidden/>
    <w:rsid w:val="00D468A6"/>
  </w:style>
  <w:style w:type="paragraph" w:styleId="CommentSubject">
    <w:name w:val="annotation subject"/>
    <w:basedOn w:val="CommentText"/>
    <w:next w:val="CommentText"/>
    <w:link w:val="CommentSubjectChar"/>
    <w:uiPriority w:val="99"/>
    <w:semiHidden/>
    <w:unhideWhenUsed/>
    <w:rsid w:val="00D468A6"/>
    <w:rPr>
      <w:b/>
      <w:bCs/>
    </w:rPr>
  </w:style>
  <w:style w:type="character" w:customStyle="1" w:styleId="CommentSubjectChar">
    <w:name w:val="Comment Subject Char"/>
    <w:link w:val="CommentSubject"/>
    <w:uiPriority w:val="99"/>
    <w:semiHidden/>
    <w:rsid w:val="00D468A6"/>
    <w:rPr>
      <w:b/>
      <w:bCs/>
    </w:rPr>
  </w:style>
  <w:style w:type="paragraph" w:styleId="BalloonText">
    <w:name w:val="Balloon Text"/>
    <w:basedOn w:val="Normal"/>
    <w:link w:val="BalloonTextChar"/>
    <w:uiPriority w:val="99"/>
    <w:semiHidden/>
    <w:unhideWhenUsed/>
    <w:rsid w:val="00D468A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68A6"/>
    <w:rPr>
      <w:rFonts w:ascii="Tahoma" w:hAnsi="Tahoma" w:cs="Tahoma"/>
      <w:sz w:val="16"/>
      <w:szCs w:val="16"/>
    </w:rPr>
  </w:style>
  <w:style w:type="paragraph" w:styleId="Header">
    <w:name w:val="header"/>
    <w:basedOn w:val="Normal"/>
    <w:link w:val="HeaderChar"/>
    <w:uiPriority w:val="99"/>
    <w:unhideWhenUsed/>
    <w:rsid w:val="003256BA"/>
    <w:pPr>
      <w:tabs>
        <w:tab w:val="center" w:pos="4680"/>
        <w:tab w:val="right" w:pos="9360"/>
      </w:tabs>
    </w:pPr>
  </w:style>
  <w:style w:type="character" w:customStyle="1" w:styleId="HeaderChar">
    <w:name w:val="Header Char"/>
    <w:link w:val="Header"/>
    <w:uiPriority w:val="99"/>
    <w:rsid w:val="003256BA"/>
    <w:rPr>
      <w:sz w:val="22"/>
      <w:szCs w:val="22"/>
    </w:rPr>
  </w:style>
  <w:style w:type="paragraph" w:styleId="Footer">
    <w:name w:val="footer"/>
    <w:basedOn w:val="Normal"/>
    <w:link w:val="FooterChar"/>
    <w:uiPriority w:val="99"/>
    <w:unhideWhenUsed/>
    <w:rsid w:val="003256BA"/>
    <w:pPr>
      <w:tabs>
        <w:tab w:val="center" w:pos="4680"/>
        <w:tab w:val="right" w:pos="9360"/>
      </w:tabs>
    </w:pPr>
  </w:style>
  <w:style w:type="character" w:customStyle="1" w:styleId="FooterChar">
    <w:name w:val="Footer Char"/>
    <w:link w:val="Footer"/>
    <w:uiPriority w:val="99"/>
    <w:rsid w:val="003256BA"/>
    <w:rPr>
      <w:sz w:val="22"/>
      <w:szCs w:val="22"/>
    </w:rPr>
  </w:style>
  <w:style w:type="paragraph" w:styleId="ListParagraph">
    <w:name w:val="List Paragraph"/>
    <w:basedOn w:val="Normal"/>
    <w:uiPriority w:val="34"/>
    <w:qFormat/>
    <w:rsid w:val="00FD6879"/>
    <w:pPr>
      <w:ind w:left="720"/>
    </w:pPr>
  </w:style>
  <w:style w:type="character" w:customStyle="1" w:styleId="Heading1Char">
    <w:name w:val="Heading 1 Char"/>
    <w:link w:val="Heading1"/>
    <w:uiPriority w:val="9"/>
    <w:rsid w:val="00A61021"/>
    <w:rPr>
      <w:rFonts w:cs="Calibri"/>
      <w:b/>
      <w:sz w:val="28"/>
      <w:szCs w:val="28"/>
    </w:rPr>
  </w:style>
  <w:style w:type="character" w:customStyle="1" w:styleId="Heading2Char">
    <w:name w:val="Heading 2 Char"/>
    <w:link w:val="Heading2"/>
    <w:uiPriority w:val="9"/>
    <w:rsid w:val="00F86498"/>
    <w:rPr>
      <w:rFonts w:cs="Calibri"/>
      <w:b/>
      <w:sz w:val="24"/>
      <w:szCs w:val="24"/>
    </w:rPr>
  </w:style>
  <w:style w:type="paragraph" w:styleId="Caption">
    <w:name w:val="caption"/>
    <w:basedOn w:val="Normal"/>
    <w:next w:val="Normal"/>
    <w:uiPriority w:val="35"/>
    <w:unhideWhenUsed/>
    <w:qFormat/>
    <w:rsid w:val="00A610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9947">
      <w:bodyDiv w:val="1"/>
      <w:marLeft w:val="0"/>
      <w:marRight w:val="0"/>
      <w:marTop w:val="0"/>
      <w:marBottom w:val="0"/>
      <w:divBdr>
        <w:top w:val="none" w:sz="0" w:space="0" w:color="auto"/>
        <w:left w:val="none" w:sz="0" w:space="0" w:color="auto"/>
        <w:bottom w:val="none" w:sz="0" w:space="0" w:color="auto"/>
        <w:right w:val="none" w:sz="0" w:space="0" w:color="auto"/>
      </w:divBdr>
    </w:div>
    <w:div w:id="405961282">
      <w:bodyDiv w:val="1"/>
      <w:marLeft w:val="0"/>
      <w:marRight w:val="0"/>
      <w:marTop w:val="0"/>
      <w:marBottom w:val="0"/>
      <w:divBdr>
        <w:top w:val="none" w:sz="0" w:space="0" w:color="auto"/>
        <w:left w:val="none" w:sz="0" w:space="0" w:color="auto"/>
        <w:bottom w:val="none" w:sz="0" w:space="0" w:color="auto"/>
        <w:right w:val="none" w:sz="0" w:space="0" w:color="auto"/>
      </w:divBdr>
      <w:divsChild>
        <w:div w:id="230510732">
          <w:marLeft w:val="1636"/>
          <w:marRight w:val="0"/>
          <w:marTop w:val="0"/>
          <w:marBottom w:val="0"/>
          <w:divBdr>
            <w:top w:val="single" w:sz="24" w:space="0" w:color="6C9D30"/>
            <w:left w:val="single" w:sz="2" w:space="0" w:color="2E2E2E"/>
            <w:bottom w:val="single" w:sz="2" w:space="0" w:color="2E2E2E"/>
            <w:right w:val="single" w:sz="2" w:space="0" w:color="2E2E2E"/>
          </w:divBdr>
          <w:divsChild>
            <w:div w:id="1537691390">
              <w:marLeft w:val="0"/>
              <w:marRight w:val="0"/>
              <w:marTop w:val="19"/>
              <w:marBottom w:val="0"/>
              <w:divBdr>
                <w:top w:val="none" w:sz="0" w:space="0" w:color="auto"/>
                <w:left w:val="none" w:sz="0" w:space="0" w:color="auto"/>
                <w:bottom w:val="none" w:sz="0" w:space="0" w:color="auto"/>
                <w:right w:val="none" w:sz="0" w:space="0" w:color="auto"/>
              </w:divBdr>
              <w:divsChild>
                <w:div w:id="518353820">
                  <w:marLeft w:val="0"/>
                  <w:marRight w:val="0"/>
                  <w:marTop w:val="0"/>
                  <w:marBottom w:val="0"/>
                  <w:divBdr>
                    <w:top w:val="none" w:sz="0" w:space="0" w:color="auto"/>
                    <w:left w:val="none" w:sz="0" w:space="0" w:color="auto"/>
                    <w:bottom w:val="none" w:sz="0" w:space="0" w:color="auto"/>
                    <w:right w:val="none" w:sz="0" w:space="0" w:color="auto"/>
                  </w:divBdr>
                  <w:divsChild>
                    <w:div w:id="1243637494">
                      <w:marLeft w:val="0"/>
                      <w:marRight w:val="0"/>
                      <w:marTop w:val="0"/>
                      <w:marBottom w:val="0"/>
                      <w:divBdr>
                        <w:top w:val="none" w:sz="0" w:space="0" w:color="auto"/>
                        <w:left w:val="none" w:sz="0" w:space="0" w:color="auto"/>
                        <w:bottom w:val="none" w:sz="0" w:space="0" w:color="auto"/>
                        <w:right w:val="none" w:sz="0" w:space="0" w:color="auto"/>
                      </w:divBdr>
                      <w:divsChild>
                        <w:div w:id="2049798781">
                          <w:marLeft w:val="0"/>
                          <w:marRight w:val="0"/>
                          <w:marTop w:val="0"/>
                          <w:marBottom w:val="0"/>
                          <w:divBdr>
                            <w:top w:val="none" w:sz="0" w:space="0" w:color="auto"/>
                            <w:left w:val="none" w:sz="0" w:space="0" w:color="auto"/>
                            <w:bottom w:val="none" w:sz="0" w:space="0" w:color="auto"/>
                            <w:right w:val="none" w:sz="0" w:space="0" w:color="auto"/>
                          </w:divBdr>
                          <w:divsChild>
                            <w:div w:id="1333027465">
                              <w:marLeft w:val="0"/>
                              <w:marRight w:val="0"/>
                              <w:marTop w:val="0"/>
                              <w:marBottom w:val="0"/>
                              <w:divBdr>
                                <w:top w:val="none" w:sz="0" w:space="0" w:color="auto"/>
                                <w:left w:val="none" w:sz="0" w:space="0" w:color="auto"/>
                                <w:bottom w:val="none" w:sz="0" w:space="0" w:color="auto"/>
                                <w:right w:val="none" w:sz="0" w:space="0" w:color="auto"/>
                              </w:divBdr>
                            </w:div>
                            <w:div w:id="138001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11063">
      <w:bodyDiv w:val="1"/>
      <w:marLeft w:val="0"/>
      <w:marRight w:val="0"/>
      <w:marTop w:val="0"/>
      <w:marBottom w:val="0"/>
      <w:divBdr>
        <w:top w:val="none" w:sz="0" w:space="0" w:color="auto"/>
        <w:left w:val="none" w:sz="0" w:space="0" w:color="auto"/>
        <w:bottom w:val="none" w:sz="0" w:space="0" w:color="auto"/>
        <w:right w:val="none" w:sz="0" w:space="0" w:color="auto"/>
      </w:divBdr>
    </w:div>
    <w:div w:id="584345412">
      <w:bodyDiv w:val="1"/>
      <w:marLeft w:val="0"/>
      <w:marRight w:val="0"/>
      <w:marTop w:val="0"/>
      <w:marBottom w:val="0"/>
      <w:divBdr>
        <w:top w:val="none" w:sz="0" w:space="0" w:color="auto"/>
        <w:left w:val="none" w:sz="0" w:space="0" w:color="auto"/>
        <w:bottom w:val="none" w:sz="0" w:space="0" w:color="auto"/>
        <w:right w:val="none" w:sz="0" w:space="0" w:color="auto"/>
      </w:divBdr>
      <w:divsChild>
        <w:div w:id="19205215">
          <w:marLeft w:val="1636"/>
          <w:marRight w:val="0"/>
          <w:marTop w:val="0"/>
          <w:marBottom w:val="0"/>
          <w:divBdr>
            <w:top w:val="single" w:sz="24" w:space="0" w:color="6C9D30"/>
            <w:left w:val="single" w:sz="2" w:space="0" w:color="2E2E2E"/>
            <w:bottom w:val="single" w:sz="2" w:space="0" w:color="2E2E2E"/>
            <w:right w:val="single" w:sz="2" w:space="0" w:color="2E2E2E"/>
          </w:divBdr>
          <w:divsChild>
            <w:div w:id="1700623852">
              <w:marLeft w:val="0"/>
              <w:marRight w:val="0"/>
              <w:marTop w:val="19"/>
              <w:marBottom w:val="0"/>
              <w:divBdr>
                <w:top w:val="none" w:sz="0" w:space="0" w:color="auto"/>
                <w:left w:val="none" w:sz="0" w:space="0" w:color="auto"/>
                <w:bottom w:val="none" w:sz="0" w:space="0" w:color="auto"/>
                <w:right w:val="none" w:sz="0" w:space="0" w:color="auto"/>
              </w:divBdr>
              <w:divsChild>
                <w:div w:id="255750852">
                  <w:marLeft w:val="0"/>
                  <w:marRight w:val="0"/>
                  <w:marTop w:val="0"/>
                  <w:marBottom w:val="0"/>
                  <w:divBdr>
                    <w:top w:val="none" w:sz="0" w:space="0" w:color="auto"/>
                    <w:left w:val="none" w:sz="0" w:space="0" w:color="auto"/>
                    <w:bottom w:val="none" w:sz="0" w:space="0" w:color="auto"/>
                    <w:right w:val="none" w:sz="0" w:space="0" w:color="auto"/>
                  </w:divBdr>
                  <w:divsChild>
                    <w:div w:id="2000841916">
                      <w:marLeft w:val="0"/>
                      <w:marRight w:val="0"/>
                      <w:marTop w:val="0"/>
                      <w:marBottom w:val="0"/>
                      <w:divBdr>
                        <w:top w:val="none" w:sz="0" w:space="0" w:color="auto"/>
                        <w:left w:val="none" w:sz="0" w:space="0" w:color="auto"/>
                        <w:bottom w:val="none" w:sz="0" w:space="0" w:color="auto"/>
                        <w:right w:val="none" w:sz="0" w:space="0" w:color="auto"/>
                      </w:divBdr>
                      <w:divsChild>
                        <w:div w:id="669603679">
                          <w:marLeft w:val="0"/>
                          <w:marRight w:val="0"/>
                          <w:marTop w:val="0"/>
                          <w:marBottom w:val="0"/>
                          <w:divBdr>
                            <w:top w:val="none" w:sz="0" w:space="0" w:color="auto"/>
                            <w:left w:val="none" w:sz="0" w:space="0" w:color="auto"/>
                            <w:bottom w:val="none" w:sz="0" w:space="0" w:color="auto"/>
                            <w:right w:val="none" w:sz="0" w:space="0" w:color="auto"/>
                          </w:divBdr>
                          <w:divsChild>
                            <w:div w:id="62487438">
                              <w:marLeft w:val="0"/>
                              <w:marRight w:val="0"/>
                              <w:marTop w:val="0"/>
                              <w:marBottom w:val="0"/>
                              <w:divBdr>
                                <w:top w:val="none" w:sz="0" w:space="0" w:color="auto"/>
                                <w:left w:val="none" w:sz="0" w:space="0" w:color="auto"/>
                                <w:bottom w:val="none" w:sz="0" w:space="0" w:color="auto"/>
                                <w:right w:val="none" w:sz="0" w:space="0" w:color="auto"/>
                              </w:divBdr>
                            </w:div>
                            <w:div w:id="555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165017">
      <w:bodyDiv w:val="1"/>
      <w:marLeft w:val="0"/>
      <w:marRight w:val="0"/>
      <w:marTop w:val="0"/>
      <w:marBottom w:val="0"/>
      <w:divBdr>
        <w:top w:val="none" w:sz="0" w:space="0" w:color="auto"/>
        <w:left w:val="none" w:sz="0" w:space="0" w:color="auto"/>
        <w:bottom w:val="none" w:sz="0" w:space="0" w:color="auto"/>
        <w:right w:val="none" w:sz="0" w:space="0" w:color="auto"/>
      </w:divBdr>
    </w:div>
    <w:div w:id="773207494">
      <w:bodyDiv w:val="1"/>
      <w:marLeft w:val="0"/>
      <w:marRight w:val="0"/>
      <w:marTop w:val="0"/>
      <w:marBottom w:val="0"/>
      <w:divBdr>
        <w:top w:val="none" w:sz="0" w:space="0" w:color="auto"/>
        <w:left w:val="none" w:sz="0" w:space="0" w:color="auto"/>
        <w:bottom w:val="none" w:sz="0" w:space="0" w:color="auto"/>
        <w:right w:val="none" w:sz="0" w:space="0" w:color="auto"/>
      </w:divBdr>
    </w:div>
    <w:div w:id="788814908">
      <w:bodyDiv w:val="1"/>
      <w:marLeft w:val="0"/>
      <w:marRight w:val="0"/>
      <w:marTop w:val="0"/>
      <w:marBottom w:val="0"/>
      <w:divBdr>
        <w:top w:val="none" w:sz="0" w:space="0" w:color="auto"/>
        <w:left w:val="none" w:sz="0" w:space="0" w:color="auto"/>
        <w:bottom w:val="none" w:sz="0" w:space="0" w:color="auto"/>
        <w:right w:val="none" w:sz="0" w:space="0" w:color="auto"/>
      </w:divBdr>
    </w:div>
    <w:div w:id="1208950437">
      <w:bodyDiv w:val="1"/>
      <w:marLeft w:val="0"/>
      <w:marRight w:val="0"/>
      <w:marTop w:val="0"/>
      <w:marBottom w:val="0"/>
      <w:divBdr>
        <w:top w:val="none" w:sz="0" w:space="0" w:color="auto"/>
        <w:left w:val="none" w:sz="0" w:space="0" w:color="auto"/>
        <w:bottom w:val="none" w:sz="0" w:space="0" w:color="auto"/>
        <w:right w:val="none" w:sz="0" w:space="0" w:color="auto"/>
      </w:divBdr>
    </w:div>
    <w:div w:id="1220242607">
      <w:bodyDiv w:val="1"/>
      <w:marLeft w:val="0"/>
      <w:marRight w:val="0"/>
      <w:marTop w:val="0"/>
      <w:marBottom w:val="0"/>
      <w:divBdr>
        <w:top w:val="none" w:sz="0" w:space="0" w:color="auto"/>
        <w:left w:val="none" w:sz="0" w:space="0" w:color="auto"/>
        <w:bottom w:val="none" w:sz="0" w:space="0" w:color="auto"/>
        <w:right w:val="none" w:sz="0" w:space="0" w:color="auto"/>
      </w:divBdr>
      <w:divsChild>
        <w:div w:id="306520565">
          <w:marLeft w:val="0"/>
          <w:marRight w:val="0"/>
          <w:marTop w:val="0"/>
          <w:marBottom w:val="0"/>
          <w:divBdr>
            <w:top w:val="none" w:sz="0" w:space="0" w:color="auto"/>
            <w:left w:val="none" w:sz="0" w:space="0" w:color="auto"/>
            <w:bottom w:val="none" w:sz="0" w:space="0" w:color="auto"/>
            <w:right w:val="none" w:sz="0" w:space="0" w:color="auto"/>
          </w:divBdr>
        </w:div>
      </w:divsChild>
    </w:div>
    <w:div w:id="1430852282">
      <w:bodyDiv w:val="1"/>
      <w:marLeft w:val="0"/>
      <w:marRight w:val="0"/>
      <w:marTop w:val="0"/>
      <w:marBottom w:val="0"/>
      <w:divBdr>
        <w:top w:val="none" w:sz="0" w:space="0" w:color="auto"/>
        <w:left w:val="none" w:sz="0" w:space="0" w:color="auto"/>
        <w:bottom w:val="none" w:sz="0" w:space="0" w:color="auto"/>
        <w:right w:val="none" w:sz="0" w:space="0" w:color="auto"/>
      </w:divBdr>
      <w:divsChild>
        <w:div w:id="945304658">
          <w:marLeft w:val="0"/>
          <w:marRight w:val="0"/>
          <w:marTop w:val="0"/>
          <w:marBottom w:val="0"/>
          <w:divBdr>
            <w:top w:val="none" w:sz="0" w:space="0" w:color="auto"/>
            <w:left w:val="none" w:sz="0" w:space="0" w:color="auto"/>
            <w:bottom w:val="none" w:sz="0" w:space="0" w:color="auto"/>
            <w:right w:val="none" w:sz="0" w:space="0" w:color="auto"/>
          </w:divBdr>
          <w:divsChild>
            <w:div w:id="1005323763">
              <w:marLeft w:val="0"/>
              <w:marRight w:val="0"/>
              <w:marTop w:val="0"/>
              <w:marBottom w:val="0"/>
              <w:divBdr>
                <w:top w:val="none" w:sz="0" w:space="0" w:color="auto"/>
                <w:left w:val="none" w:sz="0" w:space="0" w:color="auto"/>
                <w:bottom w:val="none" w:sz="0" w:space="0" w:color="auto"/>
                <w:right w:val="none" w:sz="0" w:space="0" w:color="auto"/>
              </w:divBdr>
              <w:divsChild>
                <w:div w:id="1912541176">
                  <w:marLeft w:val="0"/>
                  <w:marRight w:val="0"/>
                  <w:marTop w:val="0"/>
                  <w:marBottom w:val="374"/>
                  <w:divBdr>
                    <w:top w:val="none" w:sz="0" w:space="0" w:color="auto"/>
                    <w:left w:val="none" w:sz="0" w:space="0" w:color="auto"/>
                    <w:bottom w:val="single" w:sz="8" w:space="0" w:color="E0E0E0"/>
                    <w:right w:val="none" w:sz="0" w:space="0" w:color="auto"/>
                  </w:divBdr>
                  <w:divsChild>
                    <w:div w:id="1697266144">
                      <w:marLeft w:val="0"/>
                      <w:marRight w:val="0"/>
                      <w:marTop w:val="0"/>
                      <w:marBottom w:val="0"/>
                      <w:divBdr>
                        <w:top w:val="none" w:sz="0" w:space="0" w:color="auto"/>
                        <w:left w:val="none" w:sz="0" w:space="0" w:color="auto"/>
                        <w:bottom w:val="none" w:sz="0" w:space="0" w:color="auto"/>
                        <w:right w:val="none" w:sz="0" w:space="0" w:color="auto"/>
                      </w:divBdr>
                      <w:divsChild>
                        <w:div w:id="255789433">
                          <w:marLeft w:val="0"/>
                          <w:marRight w:val="0"/>
                          <w:marTop w:val="0"/>
                          <w:marBottom w:val="374"/>
                          <w:divBdr>
                            <w:top w:val="none" w:sz="0" w:space="0" w:color="auto"/>
                            <w:left w:val="none" w:sz="0" w:space="0" w:color="auto"/>
                            <w:bottom w:val="single" w:sz="12" w:space="0" w:color="EBEBEB"/>
                            <w:right w:val="none" w:sz="0" w:space="0" w:color="auto"/>
                          </w:divBdr>
                          <w:divsChild>
                            <w:div w:id="16716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9446">
      <w:bodyDiv w:val="1"/>
      <w:marLeft w:val="0"/>
      <w:marRight w:val="0"/>
      <w:marTop w:val="0"/>
      <w:marBottom w:val="0"/>
      <w:divBdr>
        <w:top w:val="none" w:sz="0" w:space="0" w:color="auto"/>
        <w:left w:val="none" w:sz="0" w:space="0" w:color="auto"/>
        <w:bottom w:val="none" w:sz="0" w:space="0" w:color="auto"/>
        <w:right w:val="none" w:sz="0" w:space="0" w:color="auto"/>
      </w:divBdr>
    </w:div>
    <w:div w:id="1557888155">
      <w:bodyDiv w:val="1"/>
      <w:marLeft w:val="0"/>
      <w:marRight w:val="0"/>
      <w:marTop w:val="0"/>
      <w:marBottom w:val="0"/>
      <w:divBdr>
        <w:top w:val="none" w:sz="0" w:space="0" w:color="auto"/>
        <w:left w:val="none" w:sz="0" w:space="0" w:color="auto"/>
        <w:bottom w:val="none" w:sz="0" w:space="0" w:color="auto"/>
        <w:right w:val="none" w:sz="0" w:space="0" w:color="auto"/>
      </w:divBdr>
      <w:divsChild>
        <w:div w:id="1954940304">
          <w:marLeft w:val="0"/>
          <w:marRight w:val="0"/>
          <w:marTop w:val="0"/>
          <w:marBottom w:val="0"/>
          <w:divBdr>
            <w:top w:val="none" w:sz="0" w:space="0" w:color="auto"/>
            <w:left w:val="none" w:sz="0" w:space="0" w:color="auto"/>
            <w:bottom w:val="none" w:sz="0" w:space="0" w:color="auto"/>
            <w:right w:val="none" w:sz="0" w:space="0" w:color="auto"/>
          </w:divBdr>
        </w:div>
      </w:divsChild>
    </w:div>
    <w:div w:id="1606690529">
      <w:bodyDiv w:val="1"/>
      <w:marLeft w:val="0"/>
      <w:marRight w:val="0"/>
      <w:marTop w:val="0"/>
      <w:marBottom w:val="0"/>
      <w:divBdr>
        <w:top w:val="none" w:sz="0" w:space="0" w:color="auto"/>
        <w:left w:val="none" w:sz="0" w:space="0" w:color="auto"/>
        <w:bottom w:val="none" w:sz="0" w:space="0" w:color="auto"/>
        <w:right w:val="none" w:sz="0" w:space="0" w:color="auto"/>
      </w:divBdr>
      <w:divsChild>
        <w:div w:id="1209368481">
          <w:marLeft w:val="1636"/>
          <w:marRight w:val="0"/>
          <w:marTop w:val="0"/>
          <w:marBottom w:val="0"/>
          <w:divBdr>
            <w:top w:val="single" w:sz="24" w:space="0" w:color="6C9D30"/>
            <w:left w:val="single" w:sz="2" w:space="0" w:color="2E2E2E"/>
            <w:bottom w:val="single" w:sz="2" w:space="0" w:color="2E2E2E"/>
            <w:right w:val="single" w:sz="2" w:space="0" w:color="2E2E2E"/>
          </w:divBdr>
          <w:divsChild>
            <w:div w:id="1454053736">
              <w:marLeft w:val="0"/>
              <w:marRight w:val="0"/>
              <w:marTop w:val="19"/>
              <w:marBottom w:val="0"/>
              <w:divBdr>
                <w:top w:val="none" w:sz="0" w:space="0" w:color="auto"/>
                <w:left w:val="none" w:sz="0" w:space="0" w:color="auto"/>
                <w:bottom w:val="none" w:sz="0" w:space="0" w:color="auto"/>
                <w:right w:val="none" w:sz="0" w:space="0" w:color="auto"/>
              </w:divBdr>
              <w:divsChild>
                <w:div w:id="1411271904">
                  <w:marLeft w:val="0"/>
                  <w:marRight w:val="0"/>
                  <w:marTop w:val="0"/>
                  <w:marBottom w:val="0"/>
                  <w:divBdr>
                    <w:top w:val="none" w:sz="0" w:space="0" w:color="auto"/>
                    <w:left w:val="none" w:sz="0" w:space="0" w:color="auto"/>
                    <w:bottom w:val="none" w:sz="0" w:space="0" w:color="auto"/>
                    <w:right w:val="none" w:sz="0" w:space="0" w:color="auto"/>
                  </w:divBdr>
                  <w:divsChild>
                    <w:div w:id="1667242411">
                      <w:marLeft w:val="0"/>
                      <w:marRight w:val="0"/>
                      <w:marTop w:val="0"/>
                      <w:marBottom w:val="0"/>
                      <w:divBdr>
                        <w:top w:val="none" w:sz="0" w:space="0" w:color="auto"/>
                        <w:left w:val="none" w:sz="0" w:space="0" w:color="auto"/>
                        <w:bottom w:val="none" w:sz="0" w:space="0" w:color="auto"/>
                        <w:right w:val="none" w:sz="0" w:space="0" w:color="auto"/>
                      </w:divBdr>
                      <w:divsChild>
                        <w:div w:id="12923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864829">
      <w:bodyDiv w:val="1"/>
      <w:marLeft w:val="0"/>
      <w:marRight w:val="0"/>
      <w:marTop w:val="0"/>
      <w:marBottom w:val="0"/>
      <w:divBdr>
        <w:top w:val="none" w:sz="0" w:space="0" w:color="auto"/>
        <w:left w:val="none" w:sz="0" w:space="0" w:color="auto"/>
        <w:bottom w:val="none" w:sz="0" w:space="0" w:color="auto"/>
        <w:right w:val="none" w:sz="0" w:space="0" w:color="auto"/>
      </w:divBdr>
    </w:div>
    <w:div w:id="1735008433">
      <w:bodyDiv w:val="1"/>
      <w:marLeft w:val="0"/>
      <w:marRight w:val="0"/>
      <w:marTop w:val="0"/>
      <w:marBottom w:val="0"/>
      <w:divBdr>
        <w:top w:val="none" w:sz="0" w:space="0" w:color="auto"/>
        <w:left w:val="none" w:sz="0" w:space="0" w:color="auto"/>
        <w:bottom w:val="none" w:sz="0" w:space="0" w:color="auto"/>
        <w:right w:val="none" w:sz="0" w:space="0" w:color="auto"/>
      </w:divBdr>
    </w:div>
    <w:div w:id="1806003851">
      <w:bodyDiv w:val="1"/>
      <w:marLeft w:val="0"/>
      <w:marRight w:val="0"/>
      <w:marTop w:val="0"/>
      <w:marBottom w:val="0"/>
      <w:divBdr>
        <w:top w:val="none" w:sz="0" w:space="0" w:color="auto"/>
        <w:left w:val="none" w:sz="0" w:space="0" w:color="auto"/>
        <w:bottom w:val="none" w:sz="0" w:space="0" w:color="auto"/>
        <w:right w:val="none" w:sz="0" w:space="0" w:color="auto"/>
      </w:divBdr>
      <w:divsChild>
        <w:div w:id="972173748">
          <w:marLeft w:val="0"/>
          <w:marRight w:val="0"/>
          <w:marTop w:val="0"/>
          <w:marBottom w:val="0"/>
          <w:divBdr>
            <w:top w:val="none" w:sz="0" w:space="0" w:color="auto"/>
            <w:left w:val="none" w:sz="0" w:space="0" w:color="auto"/>
            <w:bottom w:val="none" w:sz="0" w:space="0" w:color="auto"/>
            <w:right w:val="none" w:sz="0" w:space="0" w:color="auto"/>
          </w:divBdr>
          <w:divsChild>
            <w:div w:id="409163093">
              <w:marLeft w:val="0"/>
              <w:marRight w:val="0"/>
              <w:marTop w:val="0"/>
              <w:marBottom w:val="0"/>
              <w:divBdr>
                <w:top w:val="none" w:sz="0" w:space="0" w:color="auto"/>
                <w:left w:val="none" w:sz="0" w:space="0" w:color="auto"/>
                <w:bottom w:val="none" w:sz="0" w:space="0" w:color="auto"/>
                <w:right w:val="none" w:sz="0" w:space="0" w:color="auto"/>
              </w:divBdr>
              <w:divsChild>
                <w:div w:id="126510428">
                  <w:marLeft w:val="0"/>
                  <w:marRight w:val="0"/>
                  <w:marTop w:val="0"/>
                  <w:marBottom w:val="0"/>
                  <w:divBdr>
                    <w:top w:val="none" w:sz="0" w:space="0" w:color="auto"/>
                    <w:left w:val="none" w:sz="0" w:space="0" w:color="auto"/>
                    <w:bottom w:val="none" w:sz="0" w:space="0" w:color="auto"/>
                    <w:right w:val="none" w:sz="0" w:space="0" w:color="auto"/>
                  </w:divBdr>
                  <w:divsChild>
                    <w:div w:id="68045753">
                      <w:marLeft w:val="0"/>
                      <w:marRight w:val="0"/>
                      <w:marTop w:val="0"/>
                      <w:marBottom w:val="0"/>
                      <w:divBdr>
                        <w:top w:val="none" w:sz="0" w:space="0" w:color="auto"/>
                        <w:left w:val="none" w:sz="0" w:space="0" w:color="auto"/>
                        <w:bottom w:val="none" w:sz="0" w:space="0" w:color="auto"/>
                        <w:right w:val="none" w:sz="0" w:space="0" w:color="auto"/>
                      </w:divBdr>
                      <w:divsChild>
                        <w:div w:id="1405032129">
                          <w:marLeft w:val="0"/>
                          <w:marRight w:val="0"/>
                          <w:marTop w:val="0"/>
                          <w:marBottom w:val="0"/>
                          <w:divBdr>
                            <w:top w:val="none" w:sz="0" w:space="0" w:color="auto"/>
                            <w:left w:val="none" w:sz="0" w:space="0" w:color="auto"/>
                            <w:bottom w:val="none" w:sz="0" w:space="0" w:color="auto"/>
                            <w:right w:val="none" w:sz="0" w:space="0" w:color="auto"/>
                          </w:divBdr>
                          <w:divsChild>
                            <w:div w:id="6103341">
                              <w:marLeft w:val="0"/>
                              <w:marRight w:val="0"/>
                              <w:marTop w:val="0"/>
                              <w:marBottom w:val="0"/>
                              <w:divBdr>
                                <w:top w:val="none" w:sz="0" w:space="0" w:color="auto"/>
                                <w:left w:val="none" w:sz="0" w:space="0" w:color="auto"/>
                                <w:bottom w:val="none" w:sz="0" w:space="0" w:color="auto"/>
                                <w:right w:val="none" w:sz="0" w:space="0" w:color="auto"/>
                              </w:divBdr>
                              <w:divsChild>
                                <w:div w:id="2127849382">
                                  <w:marLeft w:val="0"/>
                                  <w:marRight w:val="0"/>
                                  <w:marTop w:val="0"/>
                                  <w:marBottom w:val="0"/>
                                  <w:divBdr>
                                    <w:top w:val="none" w:sz="0" w:space="0" w:color="auto"/>
                                    <w:left w:val="none" w:sz="0" w:space="0" w:color="auto"/>
                                    <w:bottom w:val="none" w:sz="0" w:space="0" w:color="auto"/>
                                    <w:right w:val="none" w:sz="0" w:space="0" w:color="auto"/>
                                  </w:divBdr>
                                  <w:divsChild>
                                    <w:div w:id="1664818441">
                                      <w:marLeft w:val="0"/>
                                      <w:marRight w:val="0"/>
                                      <w:marTop w:val="0"/>
                                      <w:marBottom w:val="0"/>
                                      <w:divBdr>
                                        <w:top w:val="none" w:sz="0" w:space="0" w:color="auto"/>
                                        <w:left w:val="none" w:sz="0" w:space="0" w:color="auto"/>
                                        <w:bottom w:val="none" w:sz="0" w:space="0" w:color="auto"/>
                                        <w:right w:val="none" w:sz="0" w:space="0" w:color="auto"/>
                                      </w:divBdr>
                                      <w:divsChild>
                                        <w:div w:id="1457677131">
                                          <w:marLeft w:val="0"/>
                                          <w:marRight w:val="0"/>
                                          <w:marTop w:val="0"/>
                                          <w:marBottom w:val="0"/>
                                          <w:divBdr>
                                            <w:top w:val="none" w:sz="0" w:space="0" w:color="auto"/>
                                            <w:left w:val="none" w:sz="0" w:space="0" w:color="auto"/>
                                            <w:bottom w:val="none" w:sz="0" w:space="0" w:color="auto"/>
                                            <w:right w:val="none" w:sz="0" w:space="0" w:color="auto"/>
                                          </w:divBdr>
                                          <w:divsChild>
                                            <w:div w:id="14781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132159">
      <w:bodyDiv w:val="1"/>
      <w:marLeft w:val="0"/>
      <w:marRight w:val="0"/>
      <w:marTop w:val="0"/>
      <w:marBottom w:val="0"/>
      <w:divBdr>
        <w:top w:val="none" w:sz="0" w:space="0" w:color="auto"/>
        <w:left w:val="none" w:sz="0" w:space="0" w:color="auto"/>
        <w:bottom w:val="none" w:sz="0" w:space="0" w:color="auto"/>
        <w:right w:val="none" w:sz="0" w:space="0" w:color="auto"/>
      </w:divBdr>
    </w:div>
    <w:div w:id="2122989199">
      <w:bodyDiv w:val="1"/>
      <w:marLeft w:val="0"/>
      <w:marRight w:val="0"/>
      <w:marTop w:val="0"/>
      <w:marBottom w:val="0"/>
      <w:divBdr>
        <w:top w:val="none" w:sz="0" w:space="0" w:color="auto"/>
        <w:left w:val="none" w:sz="0" w:space="0" w:color="auto"/>
        <w:bottom w:val="none" w:sz="0" w:space="0" w:color="auto"/>
        <w:right w:val="none" w:sz="0" w:space="0" w:color="auto"/>
      </w:divBdr>
      <w:divsChild>
        <w:div w:id="405343386">
          <w:marLeft w:val="0"/>
          <w:marRight w:val="0"/>
          <w:marTop w:val="0"/>
          <w:marBottom w:val="0"/>
          <w:divBdr>
            <w:top w:val="none" w:sz="0" w:space="0" w:color="auto"/>
            <w:left w:val="none" w:sz="0" w:space="0" w:color="auto"/>
            <w:bottom w:val="none" w:sz="0" w:space="0" w:color="auto"/>
            <w:right w:val="none" w:sz="0" w:space="0" w:color="auto"/>
          </w:divBdr>
          <w:divsChild>
            <w:div w:id="1899895383">
              <w:marLeft w:val="0"/>
              <w:marRight w:val="0"/>
              <w:marTop w:val="0"/>
              <w:marBottom w:val="0"/>
              <w:divBdr>
                <w:top w:val="none" w:sz="0" w:space="0" w:color="auto"/>
                <w:left w:val="none" w:sz="0" w:space="0" w:color="auto"/>
                <w:bottom w:val="none" w:sz="0" w:space="0" w:color="auto"/>
                <w:right w:val="none" w:sz="0" w:space="0" w:color="auto"/>
              </w:divBdr>
              <w:divsChild>
                <w:div w:id="1683431346">
                  <w:marLeft w:val="0"/>
                  <w:marRight w:val="0"/>
                  <w:marTop w:val="0"/>
                  <w:marBottom w:val="0"/>
                  <w:divBdr>
                    <w:top w:val="none" w:sz="0" w:space="0" w:color="auto"/>
                    <w:left w:val="none" w:sz="0" w:space="0" w:color="auto"/>
                    <w:bottom w:val="none" w:sz="0" w:space="0" w:color="auto"/>
                    <w:right w:val="none" w:sz="0" w:space="0" w:color="auto"/>
                  </w:divBdr>
                  <w:divsChild>
                    <w:div w:id="708385393">
                      <w:marLeft w:val="0"/>
                      <w:marRight w:val="0"/>
                      <w:marTop w:val="75"/>
                      <w:marBottom w:val="150"/>
                      <w:divBdr>
                        <w:top w:val="none" w:sz="0" w:space="0" w:color="auto"/>
                        <w:left w:val="none" w:sz="0" w:space="0" w:color="auto"/>
                        <w:bottom w:val="none" w:sz="0" w:space="0" w:color="auto"/>
                        <w:right w:val="none" w:sz="0" w:space="0" w:color="auto"/>
                      </w:divBdr>
                      <w:divsChild>
                        <w:div w:id="1945919749">
                          <w:marLeft w:val="0"/>
                          <w:marRight w:val="0"/>
                          <w:marTop w:val="0"/>
                          <w:marBottom w:val="0"/>
                          <w:divBdr>
                            <w:top w:val="single" w:sz="2" w:space="0" w:color="CCCCCC"/>
                            <w:left w:val="single" w:sz="2" w:space="0" w:color="CCCCCC"/>
                            <w:bottom w:val="single" w:sz="2" w:space="0" w:color="CCCCCC"/>
                            <w:right w:val="single" w:sz="2" w:space="0" w:color="CCCCCC"/>
                          </w:divBdr>
                          <w:divsChild>
                            <w:div w:id="464081438">
                              <w:marLeft w:val="0"/>
                              <w:marRight w:val="0"/>
                              <w:marTop w:val="0"/>
                              <w:marBottom w:val="0"/>
                              <w:divBdr>
                                <w:top w:val="none" w:sz="0" w:space="0" w:color="auto"/>
                                <w:left w:val="none" w:sz="0" w:space="0" w:color="auto"/>
                                <w:bottom w:val="none" w:sz="0" w:space="0" w:color="auto"/>
                                <w:right w:val="none" w:sz="0" w:space="0" w:color="auto"/>
                              </w:divBdr>
                              <w:divsChild>
                                <w:div w:id="477116053">
                                  <w:marLeft w:val="0"/>
                                  <w:marRight w:val="0"/>
                                  <w:marTop w:val="0"/>
                                  <w:marBottom w:val="0"/>
                                  <w:divBdr>
                                    <w:top w:val="none" w:sz="0" w:space="0" w:color="auto"/>
                                    <w:left w:val="none" w:sz="0" w:space="0" w:color="auto"/>
                                    <w:bottom w:val="none" w:sz="0" w:space="0" w:color="auto"/>
                                    <w:right w:val="none" w:sz="0" w:space="0" w:color="auto"/>
                                  </w:divBdr>
                                  <w:divsChild>
                                    <w:div w:id="164011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arsonclinical.com/language/products/100000454/gray-oral-reading-test-fourth-edition-gort-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edinc.com/customer/productview.aspx?id=16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ssess.nelson.com/test-ind/wj-3-ach.html" TargetMode="External"/><Relationship Id="rId4" Type="http://schemas.openxmlformats.org/officeDocument/2006/relationships/webSettings" Target="webSettings.xml"/><Relationship Id="rId9" Type="http://schemas.openxmlformats.org/officeDocument/2006/relationships/hyperlink" Target="http://www.wpspublish.com/store/p/3061/test-of-word-reading-efficiency-second-edition-towr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15758</CharactersWithSpaces>
  <SharedDoc>false</SharedDoc>
  <HLinks>
    <vt:vector size="24" baseType="variant">
      <vt:variant>
        <vt:i4>2883684</vt:i4>
      </vt:variant>
      <vt:variant>
        <vt:i4>12</vt:i4>
      </vt:variant>
      <vt:variant>
        <vt:i4>0</vt:i4>
      </vt:variant>
      <vt:variant>
        <vt:i4>5</vt:i4>
      </vt:variant>
      <vt:variant>
        <vt:lpwstr>http://www.assess.nelson.com/test-ind/wj-3-ach.html</vt:lpwstr>
      </vt:variant>
      <vt:variant>
        <vt:lpwstr/>
      </vt:variant>
      <vt:variant>
        <vt:i4>3866693</vt:i4>
      </vt:variant>
      <vt:variant>
        <vt:i4>9</vt:i4>
      </vt:variant>
      <vt:variant>
        <vt:i4>0</vt:i4>
      </vt:variant>
      <vt:variant>
        <vt:i4>5</vt:i4>
      </vt:variant>
      <vt:variant>
        <vt:lpwstr>http://portal.wpspublish.com/portal/page?_pageid=53,69885&amp;_dad=portal&amp;_schema=PORTAL</vt:lpwstr>
      </vt:variant>
      <vt:variant>
        <vt:lpwstr/>
      </vt:variant>
      <vt:variant>
        <vt:i4>4784147</vt:i4>
      </vt:variant>
      <vt:variant>
        <vt:i4>6</vt:i4>
      </vt:variant>
      <vt:variant>
        <vt:i4>0</vt:i4>
      </vt:variant>
      <vt:variant>
        <vt:i4>5</vt:i4>
      </vt:variant>
      <vt:variant>
        <vt:lpwstr>http://psychcorp.pearsonassessments.com/HAIWEB/Cultures/en-us/Productdetail.htm?Pid=015-8116-577&amp;Mode=summary</vt:lpwstr>
      </vt:variant>
      <vt:variant>
        <vt:lpwstr/>
      </vt:variant>
      <vt:variant>
        <vt:i4>262231</vt:i4>
      </vt:variant>
      <vt:variant>
        <vt:i4>3</vt:i4>
      </vt:variant>
      <vt:variant>
        <vt:i4>0</vt:i4>
      </vt:variant>
      <vt:variant>
        <vt:i4>5</vt:i4>
      </vt:variant>
      <vt:variant>
        <vt:lpwstr>http://www.proedinc.com/customer/productview.aspx?id=1615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Common Data Element Outcome Measure Recomemndations</dc:title>
  <dc:subject>CRF</dc:subject>
  <dc:creator>NINDS</dc:creator>
  <cp:keywords>NINDS, CRF, Traumatic Brain Injury Common Data Element</cp:keywords>
  <cp:lastModifiedBy>Andy Franklin</cp:lastModifiedBy>
  <cp:revision>3</cp:revision>
  <dcterms:created xsi:type="dcterms:W3CDTF">2014-05-15T15:28:00Z</dcterms:created>
  <dcterms:modified xsi:type="dcterms:W3CDTF">2014-05-15T15:30:00Z</dcterms:modified>
  <cp:category>CRF</cp:category>
  <cp:contentStatus>508 Compliant</cp:contentStatus>
</cp:coreProperties>
</file>