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35" w:rsidRDefault="009D3535" w:rsidP="009D3535">
      <w:pPr>
        <w:pStyle w:val="Caption"/>
        <w:keepNext/>
      </w:pPr>
      <w:r>
        <w:t xml:space="preserve">Table </w:t>
      </w:r>
      <w:fldSimple w:instr=" SEQ Table \* ARABIC ">
        <w:r>
          <w:rPr>
            <w:noProof/>
          </w:rPr>
          <w:t>1</w:t>
        </w:r>
      </w:fldSimple>
      <w:r>
        <w:t xml:space="preserve"> Traumatic Brain Injury Outcome Domains and Descriptions</w:t>
      </w:r>
    </w:p>
    <w:tbl>
      <w:tblPr>
        <w:tblW w:w="9810" w:type="dxa"/>
        <w:tblInd w:w="93" w:type="dxa"/>
        <w:tblLook w:val="04A0"/>
      </w:tblPr>
      <w:tblGrid>
        <w:gridCol w:w="2985"/>
        <w:gridCol w:w="1585"/>
        <w:gridCol w:w="5240"/>
      </w:tblGrid>
      <w:tr w:rsidR="0021088D" w:rsidRPr="0021088D" w:rsidTr="006A5B52">
        <w:trPr>
          <w:cantSplit/>
          <w:trHeight w:val="960"/>
          <w:tblHeader/>
        </w:trPr>
        <w:tc>
          <w:tcPr>
            <w:tcW w:w="2985"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rsidR="0021088D" w:rsidRPr="006A5B52" w:rsidRDefault="0021088D" w:rsidP="006A5B52">
            <w:r w:rsidRPr="006A5B52">
              <w:t xml:space="preserve">Outcome Domain Name (equivalent to </w:t>
            </w:r>
          </w:p>
          <w:p w:rsidR="0021088D" w:rsidRPr="006A5B52" w:rsidRDefault="0021088D" w:rsidP="006A5B52">
            <w:r w:rsidRPr="006A5B52">
              <w:t>CDE Sub-Domain)</w:t>
            </w:r>
          </w:p>
        </w:tc>
        <w:tc>
          <w:tcPr>
            <w:tcW w:w="1585" w:type="dxa"/>
            <w:tcBorders>
              <w:top w:val="single" w:sz="8" w:space="0" w:color="auto"/>
              <w:left w:val="nil"/>
              <w:bottom w:val="single" w:sz="8" w:space="0" w:color="auto"/>
              <w:right w:val="single" w:sz="8" w:space="0" w:color="auto"/>
            </w:tcBorders>
            <w:shd w:val="clear" w:color="auto" w:fill="F2F2F2" w:themeFill="background1" w:themeFillShade="F2"/>
            <w:hideMark/>
          </w:tcPr>
          <w:p w:rsidR="0021088D" w:rsidRPr="006A5B52" w:rsidRDefault="0021088D" w:rsidP="006A5B52">
            <w:r w:rsidRPr="006A5B52">
              <w:t>Relevant Population</w:t>
            </w:r>
          </w:p>
        </w:tc>
        <w:tc>
          <w:tcPr>
            <w:tcW w:w="5240" w:type="dxa"/>
            <w:tcBorders>
              <w:top w:val="single" w:sz="8" w:space="0" w:color="auto"/>
              <w:left w:val="nil"/>
              <w:bottom w:val="single" w:sz="8" w:space="0" w:color="auto"/>
              <w:right w:val="single" w:sz="8" w:space="0" w:color="auto"/>
            </w:tcBorders>
            <w:shd w:val="clear" w:color="auto" w:fill="F2F2F2" w:themeFill="background1" w:themeFillShade="F2"/>
            <w:hideMark/>
          </w:tcPr>
          <w:p w:rsidR="006A5B52" w:rsidRDefault="0021088D" w:rsidP="006A5B52">
            <w:r w:rsidRPr="006A5B52">
              <w:t xml:space="preserve">Domain Description and </w:t>
            </w:r>
          </w:p>
          <w:p w:rsidR="0021088D" w:rsidRPr="006A5B52" w:rsidRDefault="0021088D" w:rsidP="006A5B52">
            <w:r w:rsidRPr="006A5B52">
              <w:t>Relevance in TBI</w:t>
            </w:r>
          </w:p>
        </w:tc>
      </w:tr>
      <w:tr w:rsidR="0021088D" w:rsidRPr="0021088D" w:rsidTr="006A5B52">
        <w:trPr>
          <w:cantSplit/>
          <w:trHeight w:val="1035"/>
        </w:trPr>
        <w:tc>
          <w:tcPr>
            <w:tcW w:w="2985" w:type="dxa"/>
            <w:tcBorders>
              <w:top w:val="nil"/>
              <w:left w:val="single" w:sz="8" w:space="0" w:color="auto"/>
              <w:bottom w:val="single" w:sz="8" w:space="0" w:color="auto"/>
              <w:right w:val="single" w:sz="8" w:space="0" w:color="auto"/>
            </w:tcBorders>
            <w:shd w:val="clear" w:color="000000" w:fill="FFFFFF"/>
            <w:hideMark/>
          </w:tcPr>
          <w:p w:rsidR="0021088D" w:rsidRPr="0021088D" w:rsidRDefault="0021088D" w:rsidP="006A5B52">
            <w:r w:rsidRPr="0021088D">
              <w:t>Academics</w:t>
            </w:r>
          </w:p>
        </w:tc>
        <w:tc>
          <w:tcPr>
            <w:tcW w:w="1585"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Pediatric</w:t>
            </w:r>
          </w:p>
        </w:tc>
        <w:tc>
          <w:tcPr>
            <w:tcW w:w="5240" w:type="dxa"/>
            <w:tcBorders>
              <w:top w:val="nil"/>
              <w:left w:val="nil"/>
              <w:bottom w:val="single" w:sz="8" w:space="0" w:color="auto"/>
              <w:right w:val="single" w:sz="8" w:space="0" w:color="auto"/>
            </w:tcBorders>
            <w:shd w:val="clear" w:color="000000" w:fill="FFFFFF"/>
            <w:hideMark/>
          </w:tcPr>
          <w:p w:rsidR="0021088D" w:rsidRPr="006A5B52" w:rsidRDefault="0021088D" w:rsidP="006A5B52">
            <w:r w:rsidRPr="006A5B52">
              <w:t>Children with TBI have been found to have significant academic difficulties characterized by school failure and deficits in academic achievement such as reading, math, and written language.</w:t>
            </w:r>
          </w:p>
        </w:tc>
      </w:tr>
      <w:tr w:rsidR="0021088D" w:rsidRPr="0021088D" w:rsidTr="006A5B52">
        <w:trPr>
          <w:cantSplit/>
          <w:trHeight w:val="1545"/>
        </w:trPr>
        <w:tc>
          <w:tcPr>
            <w:tcW w:w="2985" w:type="dxa"/>
            <w:tcBorders>
              <w:top w:val="nil"/>
              <w:left w:val="single" w:sz="8" w:space="0" w:color="auto"/>
              <w:bottom w:val="single" w:sz="8" w:space="0" w:color="auto"/>
              <w:right w:val="single" w:sz="8" w:space="0" w:color="auto"/>
            </w:tcBorders>
            <w:shd w:val="clear" w:color="auto" w:fill="auto"/>
            <w:hideMark/>
          </w:tcPr>
          <w:p w:rsidR="0021088D" w:rsidRPr="0021088D" w:rsidRDefault="0021088D" w:rsidP="006A5B52">
            <w:r w:rsidRPr="0021088D">
              <w:t>Adaptive and Daily Living Skills</w:t>
            </w:r>
          </w:p>
        </w:tc>
        <w:tc>
          <w:tcPr>
            <w:tcW w:w="1585" w:type="dxa"/>
            <w:tcBorders>
              <w:top w:val="nil"/>
              <w:left w:val="nil"/>
              <w:bottom w:val="single" w:sz="8" w:space="0" w:color="auto"/>
              <w:right w:val="single" w:sz="8" w:space="0" w:color="auto"/>
            </w:tcBorders>
            <w:shd w:val="clear" w:color="auto" w:fill="auto"/>
            <w:hideMark/>
          </w:tcPr>
          <w:p w:rsidR="0021088D" w:rsidRPr="0021088D" w:rsidRDefault="0021088D" w:rsidP="006A5B52">
            <w:r w:rsidRPr="0021088D">
              <w:t>Pediatric</w:t>
            </w:r>
          </w:p>
        </w:tc>
        <w:tc>
          <w:tcPr>
            <w:tcW w:w="5240" w:type="dxa"/>
            <w:tcBorders>
              <w:top w:val="nil"/>
              <w:left w:val="nil"/>
              <w:bottom w:val="single" w:sz="8" w:space="0" w:color="auto"/>
              <w:right w:val="single" w:sz="8" w:space="0" w:color="auto"/>
            </w:tcBorders>
            <w:shd w:val="clear" w:color="auto" w:fill="auto"/>
            <w:hideMark/>
          </w:tcPr>
          <w:p w:rsidR="0021088D" w:rsidRPr="0021088D" w:rsidRDefault="0021088D" w:rsidP="006A5B52">
            <w:r w:rsidRPr="0021088D">
              <w:t>Adaptive and daily life functioning consists of multiple domains and involve the ability to “adapt” to (e.g., adjust, vary, fit one’s behaviors / actions) and manage one's surroundings to effectively function in home, school and community life. This domain also includes children’s functional activity and activity limitations.</w:t>
            </w:r>
          </w:p>
        </w:tc>
      </w:tr>
      <w:tr w:rsidR="0021088D" w:rsidRPr="0021088D" w:rsidTr="006A5B52">
        <w:trPr>
          <w:cantSplit/>
          <w:trHeight w:val="1290"/>
        </w:trPr>
        <w:tc>
          <w:tcPr>
            <w:tcW w:w="2985" w:type="dxa"/>
            <w:tcBorders>
              <w:top w:val="nil"/>
              <w:left w:val="single" w:sz="8" w:space="0" w:color="auto"/>
              <w:bottom w:val="single" w:sz="8" w:space="0" w:color="auto"/>
              <w:right w:val="single" w:sz="8" w:space="0" w:color="auto"/>
            </w:tcBorders>
            <w:shd w:val="clear" w:color="000000" w:fill="FFFFFF"/>
            <w:hideMark/>
          </w:tcPr>
          <w:p w:rsidR="0021088D" w:rsidRPr="0021088D" w:rsidRDefault="0021088D" w:rsidP="006A5B52">
            <w:bookmarkStart w:id="0" w:name="_GoBack" w:colFirst="1" w:colLast="1"/>
            <w:r w:rsidRPr="0021088D">
              <w:t>Behavioral Function</w:t>
            </w:r>
          </w:p>
        </w:tc>
        <w:tc>
          <w:tcPr>
            <w:tcW w:w="1585"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Adult</w:t>
            </w:r>
          </w:p>
        </w:tc>
        <w:tc>
          <w:tcPr>
            <w:tcW w:w="5240"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 xml:space="preserve">Behavioral dysfunction is commonly reported following TBI and may contribute to difficulties in return to work/school, personal relationships and social functioning. Common examples are aggression and childlike behavior. </w:t>
            </w:r>
          </w:p>
        </w:tc>
      </w:tr>
      <w:bookmarkEnd w:id="0"/>
      <w:tr w:rsidR="0021088D" w:rsidRPr="0021088D" w:rsidTr="006A5B52">
        <w:trPr>
          <w:cantSplit/>
          <w:trHeight w:val="1290"/>
        </w:trPr>
        <w:tc>
          <w:tcPr>
            <w:tcW w:w="2985" w:type="dxa"/>
            <w:tcBorders>
              <w:top w:val="nil"/>
              <w:left w:val="single" w:sz="8" w:space="0" w:color="auto"/>
              <w:bottom w:val="single" w:sz="8" w:space="0" w:color="auto"/>
              <w:right w:val="single" w:sz="8" w:space="0" w:color="auto"/>
            </w:tcBorders>
            <w:shd w:val="clear" w:color="auto" w:fill="auto"/>
            <w:hideMark/>
          </w:tcPr>
          <w:p w:rsidR="0021088D" w:rsidRPr="0021088D" w:rsidRDefault="0021088D" w:rsidP="006A5B52">
            <w:r w:rsidRPr="0021088D">
              <w:t>Cognitive Activity Limitations</w:t>
            </w:r>
          </w:p>
        </w:tc>
        <w:tc>
          <w:tcPr>
            <w:tcW w:w="1585" w:type="dxa"/>
            <w:tcBorders>
              <w:top w:val="nil"/>
              <w:left w:val="nil"/>
              <w:bottom w:val="single" w:sz="8" w:space="0" w:color="auto"/>
              <w:right w:val="single" w:sz="8" w:space="0" w:color="auto"/>
            </w:tcBorders>
            <w:shd w:val="clear" w:color="auto" w:fill="auto"/>
            <w:hideMark/>
          </w:tcPr>
          <w:p w:rsidR="0021088D" w:rsidRPr="0021088D" w:rsidRDefault="0021088D" w:rsidP="006A5B52">
            <w:r w:rsidRPr="0021088D">
              <w:t>Adult</w:t>
            </w:r>
          </w:p>
        </w:tc>
        <w:tc>
          <w:tcPr>
            <w:tcW w:w="5240"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Cognitive activity measures describe the impact of neuropsychological impairments on cognitively loaded real-world tasks such as instrumental activities of daily living, functional communication, and health and safety-related behaviors.</w:t>
            </w:r>
          </w:p>
        </w:tc>
      </w:tr>
      <w:tr w:rsidR="007D42E7" w:rsidRPr="0021088D" w:rsidTr="006A5B52">
        <w:trPr>
          <w:cantSplit/>
          <w:trHeight w:val="1290"/>
        </w:trPr>
        <w:tc>
          <w:tcPr>
            <w:tcW w:w="2985" w:type="dxa"/>
            <w:tcBorders>
              <w:top w:val="nil"/>
              <w:left w:val="single" w:sz="8" w:space="0" w:color="auto"/>
              <w:bottom w:val="single" w:sz="8" w:space="0" w:color="auto"/>
              <w:right w:val="single" w:sz="8" w:space="0" w:color="auto"/>
            </w:tcBorders>
            <w:shd w:val="clear" w:color="auto" w:fill="auto"/>
            <w:hideMark/>
          </w:tcPr>
          <w:p w:rsidR="007D42E7" w:rsidRPr="0021088D" w:rsidRDefault="007D42E7" w:rsidP="006A5B52">
            <w:r>
              <w:t>Deafness and Communication Disorders</w:t>
            </w:r>
          </w:p>
        </w:tc>
        <w:tc>
          <w:tcPr>
            <w:tcW w:w="1585" w:type="dxa"/>
            <w:tcBorders>
              <w:top w:val="nil"/>
              <w:left w:val="nil"/>
              <w:bottom w:val="single" w:sz="8" w:space="0" w:color="auto"/>
              <w:right w:val="single" w:sz="8" w:space="0" w:color="auto"/>
            </w:tcBorders>
            <w:shd w:val="clear" w:color="auto" w:fill="auto"/>
            <w:hideMark/>
          </w:tcPr>
          <w:p w:rsidR="007D42E7" w:rsidRPr="0021088D" w:rsidRDefault="00121A6F" w:rsidP="006A5B52">
            <w:r w:rsidRPr="0021088D">
              <w:t>Adult &amp; Pediatric</w:t>
            </w:r>
          </w:p>
        </w:tc>
        <w:tc>
          <w:tcPr>
            <w:tcW w:w="5240" w:type="dxa"/>
            <w:tcBorders>
              <w:top w:val="nil"/>
              <w:left w:val="nil"/>
              <w:bottom w:val="single" w:sz="8" w:space="0" w:color="auto"/>
              <w:right w:val="single" w:sz="8" w:space="0" w:color="auto"/>
            </w:tcBorders>
            <w:shd w:val="clear" w:color="000000" w:fill="FFFFFF"/>
            <w:hideMark/>
          </w:tcPr>
          <w:p w:rsidR="007D42E7" w:rsidRPr="0021088D" w:rsidRDefault="007D42E7" w:rsidP="006A5B52">
            <w:r w:rsidRPr="007D42E7">
              <w:t>This domain includes measures specifically recommended by the National Institute on Deafness and Other Communication Disorders (NIDCD) according to the mission areas of Hearing, Balance, Taste and Smell, and Voice, Speech, and Language.</w:t>
            </w:r>
          </w:p>
        </w:tc>
      </w:tr>
      <w:tr w:rsidR="00733E5E" w:rsidRPr="0021088D" w:rsidTr="006A5B52">
        <w:trPr>
          <w:cantSplit/>
          <w:trHeight w:val="1290"/>
        </w:trPr>
        <w:tc>
          <w:tcPr>
            <w:tcW w:w="2985" w:type="dxa"/>
            <w:tcBorders>
              <w:top w:val="nil"/>
              <w:left w:val="single" w:sz="8" w:space="0" w:color="auto"/>
              <w:bottom w:val="single" w:sz="8" w:space="0" w:color="auto"/>
              <w:right w:val="single" w:sz="8" w:space="0" w:color="auto"/>
            </w:tcBorders>
            <w:shd w:val="clear" w:color="auto" w:fill="auto"/>
            <w:hideMark/>
          </w:tcPr>
          <w:p w:rsidR="00733E5E" w:rsidRDefault="00733E5E" w:rsidP="006A5B52">
            <w:r>
              <w:t>Effort/Symptom Validity</w:t>
            </w:r>
          </w:p>
        </w:tc>
        <w:tc>
          <w:tcPr>
            <w:tcW w:w="1585" w:type="dxa"/>
            <w:tcBorders>
              <w:top w:val="nil"/>
              <w:left w:val="nil"/>
              <w:bottom w:val="single" w:sz="8" w:space="0" w:color="auto"/>
              <w:right w:val="single" w:sz="8" w:space="0" w:color="auto"/>
            </w:tcBorders>
            <w:shd w:val="clear" w:color="auto" w:fill="auto"/>
            <w:hideMark/>
          </w:tcPr>
          <w:p w:rsidR="00733E5E" w:rsidRPr="0021088D" w:rsidRDefault="00733E5E" w:rsidP="006A5B52">
            <w:r w:rsidRPr="0021088D">
              <w:t>Adult &amp; Pediatric</w:t>
            </w:r>
          </w:p>
        </w:tc>
        <w:tc>
          <w:tcPr>
            <w:tcW w:w="5240" w:type="dxa"/>
            <w:tcBorders>
              <w:top w:val="nil"/>
              <w:left w:val="nil"/>
              <w:bottom w:val="single" w:sz="8" w:space="0" w:color="auto"/>
              <w:right w:val="single" w:sz="8" w:space="0" w:color="auto"/>
            </w:tcBorders>
            <w:shd w:val="clear" w:color="000000" w:fill="FFFFFF"/>
            <w:hideMark/>
          </w:tcPr>
          <w:p w:rsidR="00733E5E" w:rsidRPr="0021088D" w:rsidRDefault="00BA416F" w:rsidP="006A5B52">
            <w:r>
              <w:t xml:space="preserve">Poor results on tests of memory and cognition may be due to lack of effort or malingering. Tests in this domain help </w:t>
            </w:r>
            <w:r w:rsidR="00362883">
              <w:t xml:space="preserve">to </w:t>
            </w:r>
            <w:r>
              <w:t xml:space="preserve">evaluate </w:t>
            </w:r>
            <w:r w:rsidR="00362883">
              <w:t>the likelihood that cognitive impairment explains the participant’s/subject’s test results.</w:t>
            </w:r>
          </w:p>
        </w:tc>
      </w:tr>
      <w:tr w:rsidR="0021088D" w:rsidRPr="0021088D" w:rsidTr="006A5B52">
        <w:trPr>
          <w:cantSplit/>
          <w:trHeight w:val="780"/>
        </w:trPr>
        <w:tc>
          <w:tcPr>
            <w:tcW w:w="2985" w:type="dxa"/>
            <w:tcBorders>
              <w:top w:val="nil"/>
              <w:left w:val="single" w:sz="8" w:space="0" w:color="auto"/>
              <w:bottom w:val="single" w:sz="8" w:space="0" w:color="auto"/>
              <w:right w:val="single" w:sz="8" w:space="0" w:color="auto"/>
            </w:tcBorders>
            <w:shd w:val="clear" w:color="auto" w:fill="auto"/>
            <w:hideMark/>
          </w:tcPr>
          <w:p w:rsidR="0021088D" w:rsidRPr="0021088D" w:rsidRDefault="0021088D" w:rsidP="006A5B52">
            <w:r w:rsidRPr="0021088D">
              <w:t>Family and Environment</w:t>
            </w:r>
          </w:p>
        </w:tc>
        <w:tc>
          <w:tcPr>
            <w:tcW w:w="1585" w:type="dxa"/>
            <w:tcBorders>
              <w:top w:val="nil"/>
              <w:left w:val="nil"/>
              <w:bottom w:val="single" w:sz="8" w:space="0" w:color="auto"/>
              <w:right w:val="single" w:sz="8" w:space="0" w:color="auto"/>
            </w:tcBorders>
            <w:shd w:val="clear" w:color="auto" w:fill="auto"/>
            <w:hideMark/>
          </w:tcPr>
          <w:p w:rsidR="0021088D" w:rsidRPr="0021088D" w:rsidRDefault="0021088D" w:rsidP="006A5B52">
            <w:r w:rsidRPr="0021088D">
              <w:t>Pediatric</w:t>
            </w:r>
          </w:p>
        </w:tc>
        <w:tc>
          <w:tcPr>
            <w:tcW w:w="5240" w:type="dxa"/>
            <w:tcBorders>
              <w:top w:val="nil"/>
              <w:left w:val="nil"/>
              <w:bottom w:val="single" w:sz="8" w:space="0" w:color="auto"/>
              <w:right w:val="single" w:sz="8" w:space="0" w:color="auto"/>
            </w:tcBorders>
            <w:shd w:val="clear" w:color="auto" w:fill="auto"/>
            <w:hideMark/>
          </w:tcPr>
          <w:p w:rsidR="0021088D" w:rsidRPr="0021088D" w:rsidRDefault="0021088D" w:rsidP="006A5B52">
            <w:r w:rsidRPr="0021088D">
              <w:t>This domain includes moderators of outcome related to family and environment as well as the consequences to family.</w:t>
            </w:r>
          </w:p>
        </w:tc>
      </w:tr>
      <w:tr w:rsidR="0021088D" w:rsidRPr="0021088D" w:rsidTr="006A5B52">
        <w:trPr>
          <w:cantSplit/>
          <w:trHeight w:val="780"/>
        </w:trPr>
        <w:tc>
          <w:tcPr>
            <w:tcW w:w="2985" w:type="dxa"/>
            <w:tcBorders>
              <w:top w:val="nil"/>
              <w:left w:val="single" w:sz="8" w:space="0" w:color="auto"/>
              <w:bottom w:val="single" w:sz="8" w:space="0" w:color="auto"/>
              <w:right w:val="single" w:sz="8" w:space="0" w:color="auto"/>
            </w:tcBorders>
            <w:shd w:val="clear" w:color="000000" w:fill="FFFFFF"/>
            <w:hideMark/>
          </w:tcPr>
          <w:p w:rsidR="0021088D" w:rsidRPr="0021088D" w:rsidRDefault="0021088D" w:rsidP="006A5B52">
            <w:r w:rsidRPr="0021088D">
              <w:t>Global Outcome</w:t>
            </w:r>
          </w:p>
        </w:tc>
        <w:tc>
          <w:tcPr>
            <w:tcW w:w="1585"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Adult &amp; Pediatric</w:t>
            </w:r>
          </w:p>
        </w:tc>
        <w:tc>
          <w:tcPr>
            <w:tcW w:w="5240"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Global outcome measures summarize the overall impact of TBI incorporating functional status, independence and role participation.</w:t>
            </w:r>
          </w:p>
        </w:tc>
      </w:tr>
      <w:tr w:rsidR="0021088D" w:rsidRPr="0021088D" w:rsidTr="006A5B52">
        <w:trPr>
          <w:cantSplit/>
          <w:trHeight w:val="1035"/>
        </w:trPr>
        <w:tc>
          <w:tcPr>
            <w:tcW w:w="2985" w:type="dxa"/>
            <w:tcBorders>
              <w:top w:val="nil"/>
              <w:left w:val="single" w:sz="8" w:space="0" w:color="auto"/>
              <w:bottom w:val="single" w:sz="8" w:space="0" w:color="auto"/>
              <w:right w:val="single" w:sz="8" w:space="0" w:color="auto"/>
            </w:tcBorders>
            <w:shd w:val="clear" w:color="000000" w:fill="FFFFFF"/>
            <w:hideMark/>
          </w:tcPr>
          <w:p w:rsidR="0021088D" w:rsidRPr="0021088D" w:rsidRDefault="0021088D" w:rsidP="006A5B52">
            <w:r w:rsidRPr="0021088D">
              <w:t>Health-Economic Measures</w:t>
            </w:r>
          </w:p>
        </w:tc>
        <w:tc>
          <w:tcPr>
            <w:tcW w:w="1585"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Adult</w:t>
            </w:r>
          </w:p>
        </w:tc>
        <w:tc>
          <w:tcPr>
            <w:tcW w:w="5240"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Health-economic measures assess the magnitude of benefit in relation to costs spent; e.g., they identify the most cost-effective therapeutic procedure in terms of cost per Quality Adjusted Life Year (QALY).</w:t>
            </w:r>
          </w:p>
        </w:tc>
      </w:tr>
      <w:tr w:rsidR="0021088D" w:rsidRPr="0021088D" w:rsidTr="006A5B52">
        <w:trPr>
          <w:cantSplit/>
          <w:trHeight w:val="1035"/>
        </w:trPr>
        <w:tc>
          <w:tcPr>
            <w:tcW w:w="2985" w:type="dxa"/>
            <w:tcBorders>
              <w:top w:val="nil"/>
              <w:left w:val="single" w:sz="8" w:space="0" w:color="auto"/>
              <w:bottom w:val="single" w:sz="8" w:space="0" w:color="auto"/>
              <w:right w:val="single" w:sz="8" w:space="0" w:color="auto"/>
            </w:tcBorders>
            <w:shd w:val="clear" w:color="auto" w:fill="auto"/>
            <w:hideMark/>
          </w:tcPr>
          <w:p w:rsidR="0021088D" w:rsidRPr="0021088D" w:rsidRDefault="0021088D" w:rsidP="006A5B52">
            <w:r w:rsidRPr="0021088D">
              <w:t>Infant and Toddler Measures</w:t>
            </w:r>
          </w:p>
        </w:tc>
        <w:tc>
          <w:tcPr>
            <w:tcW w:w="1585" w:type="dxa"/>
            <w:tcBorders>
              <w:top w:val="nil"/>
              <w:left w:val="nil"/>
              <w:bottom w:val="single" w:sz="8" w:space="0" w:color="auto"/>
              <w:right w:val="single" w:sz="8" w:space="0" w:color="auto"/>
            </w:tcBorders>
            <w:shd w:val="clear" w:color="auto" w:fill="auto"/>
            <w:hideMark/>
          </w:tcPr>
          <w:p w:rsidR="0021088D" w:rsidRPr="0021088D" w:rsidRDefault="0021088D" w:rsidP="006A5B52">
            <w:r w:rsidRPr="0021088D">
              <w:t>Pediatric</w:t>
            </w:r>
          </w:p>
        </w:tc>
        <w:tc>
          <w:tcPr>
            <w:tcW w:w="5240" w:type="dxa"/>
            <w:tcBorders>
              <w:top w:val="nil"/>
              <w:left w:val="nil"/>
              <w:bottom w:val="single" w:sz="8" w:space="0" w:color="auto"/>
              <w:right w:val="single" w:sz="8" w:space="0" w:color="auto"/>
            </w:tcBorders>
            <w:shd w:val="clear" w:color="auto" w:fill="auto"/>
            <w:hideMark/>
          </w:tcPr>
          <w:p w:rsidR="0021088D" w:rsidRPr="0021088D" w:rsidRDefault="0021088D" w:rsidP="006A5B52">
            <w:r w:rsidRPr="0021088D">
              <w:t>Childhood and adolescence represent a wide range of developmental levels and even most pediatric measures ar</w:t>
            </w:r>
            <w:r>
              <w:t xml:space="preserve">e </w:t>
            </w:r>
            <w:r w:rsidRPr="0021088D">
              <w:t>inappropriate for infants and toddlers. Therefore, limited special measures are included for this age range.</w:t>
            </w:r>
          </w:p>
        </w:tc>
      </w:tr>
      <w:tr w:rsidR="0021088D" w:rsidRPr="0021088D" w:rsidTr="006A5B52">
        <w:trPr>
          <w:cantSplit/>
          <w:trHeight w:val="1123"/>
        </w:trPr>
        <w:tc>
          <w:tcPr>
            <w:tcW w:w="2985" w:type="dxa"/>
            <w:tcBorders>
              <w:top w:val="nil"/>
              <w:left w:val="single" w:sz="8" w:space="0" w:color="auto"/>
              <w:bottom w:val="single" w:sz="8" w:space="0" w:color="auto"/>
              <w:right w:val="single" w:sz="8" w:space="0" w:color="auto"/>
            </w:tcBorders>
            <w:shd w:val="clear" w:color="auto" w:fill="auto"/>
            <w:hideMark/>
          </w:tcPr>
          <w:p w:rsidR="0021088D" w:rsidRPr="0021088D" w:rsidRDefault="0021088D" w:rsidP="006A5B52">
            <w:r w:rsidRPr="0021088D">
              <w:lastRenderedPageBreak/>
              <w:t>Language and Communication</w:t>
            </w:r>
          </w:p>
        </w:tc>
        <w:tc>
          <w:tcPr>
            <w:tcW w:w="1585" w:type="dxa"/>
            <w:tcBorders>
              <w:top w:val="nil"/>
              <w:left w:val="nil"/>
              <w:bottom w:val="single" w:sz="8" w:space="0" w:color="auto"/>
              <w:right w:val="single" w:sz="8" w:space="0" w:color="auto"/>
            </w:tcBorders>
            <w:shd w:val="clear" w:color="auto" w:fill="auto"/>
            <w:hideMark/>
          </w:tcPr>
          <w:p w:rsidR="0021088D" w:rsidRPr="0021088D" w:rsidRDefault="0021088D" w:rsidP="006A5B52">
            <w:r w:rsidRPr="0021088D">
              <w:t>Pediatric</w:t>
            </w:r>
          </w:p>
        </w:tc>
        <w:tc>
          <w:tcPr>
            <w:tcW w:w="5240" w:type="dxa"/>
            <w:tcBorders>
              <w:top w:val="nil"/>
              <w:left w:val="nil"/>
              <w:bottom w:val="single" w:sz="8" w:space="0" w:color="auto"/>
              <w:right w:val="single" w:sz="8" w:space="0" w:color="auto"/>
            </w:tcBorders>
            <w:shd w:val="clear" w:color="auto" w:fill="auto"/>
            <w:hideMark/>
          </w:tcPr>
          <w:p w:rsidR="0021088D" w:rsidRPr="0021088D" w:rsidRDefault="0021088D" w:rsidP="006A5B52">
            <w:r w:rsidRPr="0021088D">
              <w:t>Deficits in language comprehension and expression and in speech articulation are common after TBI. Measures of language use in context (pragmatics) are particularly sensitive to TBI effects.</w:t>
            </w:r>
          </w:p>
        </w:tc>
      </w:tr>
      <w:tr w:rsidR="00733E5E" w:rsidRPr="0021088D" w:rsidTr="006A5B52">
        <w:trPr>
          <w:cantSplit/>
          <w:trHeight w:val="1123"/>
        </w:trPr>
        <w:tc>
          <w:tcPr>
            <w:tcW w:w="2985" w:type="dxa"/>
            <w:tcBorders>
              <w:top w:val="nil"/>
              <w:left w:val="single" w:sz="8" w:space="0" w:color="auto"/>
              <w:bottom w:val="single" w:sz="8" w:space="0" w:color="auto"/>
              <w:right w:val="single" w:sz="8" w:space="0" w:color="auto"/>
            </w:tcBorders>
            <w:shd w:val="clear" w:color="auto" w:fill="auto"/>
            <w:hideMark/>
          </w:tcPr>
          <w:p w:rsidR="00733E5E" w:rsidRPr="0021088D" w:rsidRDefault="00733E5E" w:rsidP="006A5B52">
            <w:r>
              <w:t>Military Studies</w:t>
            </w:r>
          </w:p>
        </w:tc>
        <w:tc>
          <w:tcPr>
            <w:tcW w:w="1585" w:type="dxa"/>
            <w:tcBorders>
              <w:top w:val="nil"/>
              <w:left w:val="nil"/>
              <w:bottom w:val="single" w:sz="8" w:space="0" w:color="auto"/>
              <w:right w:val="single" w:sz="8" w:space="0" w:color="auto"/>
            </w:tcBorders>
            <w:shd w:val="clear" w:color="auto" w:fill="auto"/>
            <w:hideMark/>
          </w:tcPr>
          <w:p w:rsidR="00733E5E" w:rsidRPr="0021088D" w:rsidRDefault="00733E5E" w:rsidP="006A5B52">
            <w:r>
              <w:t>Adult</w:t>
            </w:r>
          </w:p>
        </w:tc>
        <w:tc>
          <w:tcPr>
            <w:tcW w:w="5240" w:type="dxa"/>
            <w:tcBorders>
              <w:top w:val="nil"/>
              <w:left w:val="nil"/>
              <w:bottom w:val="single" w:sz="8" w:space="0" w:color="auto"/>
              <w:right w:val="single" w:sz="8" w:space="0" w:color="auto"/>
            </w:tcBorders>
            <w:shd w:val="clear" w:color="auto" w:fill="auto"/>
            <w:hideMark/>
          </w:tcPr>
          <w:p w:rsidR="00733E5E" w:rsidRPr="0021088D" w:rsidRDefault="00316FB3" w:rsidP="006A5B52">
            <w:r>
              <w:t>Additional m</w:t>
            </w:r>
            <w:r w:rsidR="00CC5796">
              <w:t>easures specifically designed for and</w:t>
            </w:r>
            <w:r w:rsidR="003376FE">
              <w:t>/or</w:t>
            </w:r>
            <w:r w:rsidR="00CC5796">
              <w:t xml:space="preserve"> in widespread use in military populations are included in this domain.</w:t>
            </w:r>
            <w:r>
              <w:t xml:space="preserve"> If an instrument/measure is already categorized using another outcome domain it is NOT included in this domain to prevent listing instruments/measures multiple times within the same population.</w:t>
            </w:r>
          </w:p>
        </w:tc>
      </w:tr>
      <w:tr w:rsidR="0021088D" w:rsidRPr="0021088D" w:rsidTr="006A5B52">
        <w:trPr>
          <w:cantSplit/>
          <w:trHeight w:val="1035"/>
        </w:trPr>
        <w:tc>
          <w:tcPr>
            <w:tcW w:w="2985" w:type="dxa"/>
            <w:tcBorders>
              <w:top w:val="nil"/>
              <w:left w:val="single" w:sz="8" w:space="0" w:color="auto"/>
              <w:bottom w:val="single" w:sz="8" w:space="0" w:color="auto"/>
              <w:right w:val="single" w:sz="8" w:space="0" w:color="auto"/>
            </w:tcBorders>
            <w:shd w:val="clear" w:color="000000" w:fill="FFFFFF"/>
            <w:hideMark/>
          </w:tcPr>
          <w:p w:rsidR="0021088D" w:rsidRPr="0021088D" w:rsidRDefault="0021088D" w:rsidP="006A5B52">
            <w:r w:rsidRPr="0021088D">
              <w:t>Neuropsychological Impairment</w:t>
            </w:r>
          </w:p>
        </w:tc>
        <w:tc>
          <w:tcPr>
            <w:tcW w:w="1585"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Adult &amp; Pediatric</w:t>
            </w:r>
          </w:p>
        </w:tc>
        <w:tc>
          <w:tcPr>
            <w:tcW w:w="5240"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 xml:space="preserve">Objective measures of neuropsychological functions such as attention, memory and executive function are very sensitive to the effects of TBI and often affect everyday activities </w:t>
            </w:r>
            <w:r w:rsidR="006A5B52">
              <w:t xml:space="preserve">and social role participation. </w:t>
            </w:r>
          </w:p>
        </w:tc>
      </w:tr>
      <w:tr w:rsidR="0021088D" w:rsidRPr="0021088D" w:rsidTr="006A5B52">
        <w:trPr>
          <w:cantSplit/>
          <w:trHeight w:val="1545"/>
        </w:trPr>
        <w:tc>
          <w:tcPr>
            <w:tcW w:w="2985" w:type="dxa"/>
            <w:tcBorders>
              <w:top w:val="nil"/>
              <w:left w:val="single" w:sz="8" w:space="0" w:color="auto"/>
              <w:bottom w:val="single" w:sz="8" w:space="0" w:color="auto"/>
              <w:right w:val="single" w:sz="8" w:space="0" w:color="auto"/>
            </w:tcBorders>
            <w:shd w:val="clear" w:color="auto" w:fill="auto"/>
            <w:hideMark/>
          </w:tcPr>
          <w:p w:rsidR="0021088D" w:rsidRPr="0021088D" w:rsidRDefault="0021088D" w:rsidP="006A5B52">
            <w:r w:rsidRPr="0021088D">
              <w:t>Patient Reported Outcomes (Future Multidimensional Tools)</w:t>
            </w:r>
          </w:p>
        </w:tc>
        <w:tc>
          <w:tcPr>
            <w:tcW w:w="1585" w:type="dxa"/>
            <w:tcBorders>
              <w:top w:val="nil"/>
              <w:left w:val="nil"/>
              <w:bottom w:val="single" w:sz="8" w:space="0" w:color="auto"/>
              <w:right w:val="single" w:sz="8" w:space="0" w:color="auto"/>
            </w:tcBorders>
            <w:shd w:val="clear" w:color="auto" w:fill="auto"/>
            <w:hideMark/>
          </w:tcPr>
          <w:p w:rsidR="0021088D" w:rsidRPr="0021088D" w:rsidRDefault="0021088D" w:rsidP="006A5B52">
            <w:r w:rsidRPr="0021088D">
              <w:t>Adult &amp; Pediatric</w:t>
            </w:r>
          </w:p>
        </w:tc>
        <w:tc>
          <w:tcPr>
            <w:tcW w:w="5240" w:type="dxa"/>
            <w:tcBorders>
              <w:top w:val="nil"/>
              <w:left w:val="nil"/>
              <w:bottom w:val="single" w:sz="8" w:space="0" w:color="auto"/>
              <w:right w:val="single" w:sz="8" w:space="0" w:color="auto"/>
            </w:tcBorders>
            <w:shd w:val="clear" w:color="auto" w:fill="auto"/>
            <w:hideMark/>
          </w:tcPr>
          <w:p w:rsidR="0021088D" w:rsidRPr="0021088D" w:rsidRDefault="0021088D" w:rsidP="006A5B52">
            <w:r w:rsidRPr="0021088D">
              <w:t>No single measure to date can adequately capture the multiplicity of difficulties that individuals with TBI may face. This domain includes emerging large-scale measurement tools for patient reported outcomes across several domains for generic medical populations, neurological compromise, and TBI-related complaints.</w:t>
            </w:r>
          </w:p>
        </w:tc>
      </w:tr>
      <w:tr w:rsidR="0021088D" w:rsidRPr="0021088D" w:rsidTr="006A5B52">
        <w:trPr>
          <w:cantSplit/>
          <w:trHeight w:val="1035"/>
        </w:trPr>
        <w:tc>
          <w:tcPr>
            <w:tcW w:w="2985" w:type="dxa"/>
            <w:tcBorders>
              <w:top w:val="nil"/>
              <w:left w:val="single" w:sz="8" w:space="0" w:color="auto"/>
              <w:bottom w:val="single" w:sz="8" w:space="0" w:color="auto"/>
              <w:right w:val="single" w:sz="8" w:space="0" w:color="auto"/>
            </w:tcBorders>
            <w:shd w:val="clear" w:color="000000" w:fill="FFFFFF"/>
            <w:hideMark/>
          </w:tcPr>
          <w:p w:rsidR="0021088D" w:rsidRPr="0021088D" w:rsidRDefault="0021088D" w:rsidP="006A5B52">
            <w:r w:rsidRPr="0021088D">
              <w:t>Perceived Generic and Disease-Specific Health-Related Quality of Life</w:t>
            </w:r>
          </w:p>
        </w:tc>
        <w:tc>
          <w:tcPr>
            <w:tcW w:w="1585"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Adult &amp; Pediatric</w:t>
            </w:r>
          </w:p>
        </w:tc>
        <w:tc>
          <w:tcPr>
            <w:tcW w:w="5240"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TBI may create significant limitations in multiple areas of functioning and well-being, often reducing perceived quality of life with regard to multiple generic and disease specific dimensions.</w:t>
            </w:r>
          </w:p>
        </w:tc>
      </w:tr>
      <w:tr w:rsidR="0021088D" w:rsidRPr="0021088D" w:rsidTr="006A5B52">
        <w:trPr>
          <w:cantSplit/>
          <w:trHeight w:val="1800"/>
        </w:trPr>
        <w:tc>
          <w:tcPr>
            <w:tcW w:w="2985" w:type="dxa"/>
            <w:tcBorders>
              <w:top w:val="nil"/>
              <w:left w:val="single" w:sz="8" w:space="0" w:color="auto"/>
              <w:bottom w:val="single" w:sz="8" w:space="0" w:color="auto"/>
              <w:right w:val="single" w:sz="8" w:space="0" w:color="auto"/>
            </w:tcBorders>
            <w:shd w:val="clear" w:color="000000" w:fill="FFFFFF"/>
            <w:hideMark/>
          </w:tcPr>
          <w:p w:rsidR="0021088D" w:rsidRPr="0021088D" w:rsidRDefault="0021088D" w:rsidP="006A5B52">
            <w:r w:rsidRPr="0021088D">
              <w:t>Physical Functioning</w:t>
            </w:r>
          </w:p>
        </w:tc>
        <w:tc>
          <w:tcPr>
            <w:tcW w:w="1585"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Adult &amp; Pediatric</w:t>
            </w:r>
          </w:p>
        </w:tc>
        <w:tc>
          <w:tcPr>
            <w:tcW w:w="5240"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Individuals with TBI (particularly severe TBI) may manifest difficulties in physical or neurological functioning including cranial or peripheral nerve damage, impairment in motor functioning, strength and/or coordination, or impairment in sensation. These impairments may contribute to difficulties in performing day-to-day activities safely and independently.</w:t>
            </w:r>
          </w:p>
        </w:tc>
      </w:tr>
      <w:tr w:rsidR="0021088D" w:rsidRPr="0021088D" w:rsidTr="006A5B52">
        <w:trPr>
          <w:cantSplit/>
          <w:trHeight w:val="1545"/>
        </w:trPr>
        <w:tc>
          <w:tcPr>
            <w:tcW w:w="2985" w:type="dxa"/>
            <w:tcBorders>
              <w:top w:val="nil"/>
              <w:left w:val="single" w:sz="8" w:space="0" w:color="auto"/>
              <w:bottom w:val="single" w:sz="8" w:space="0" w:color="auto"/>
              <w:right w:val="single" w:sz="8" w:space="0" w:color="auto"/>
            </w:tcBorders>
            <w:shd w:val="clear" w:color="000000" w:fill="FFFFFF"/>
            <w:hideMark/>
          </w:tcPr>
          <w:p w:rsidR="0021088D" w:rsidRPr="0021088D" w:rsidRDefault="0021088D" w:rsidP="006A5B52">
            <w:r w:rsidRPr="0021088D">
              <w:t>Post-concussive/TBI-Related Symptoms</w:t>
            </w:r>
          </w:p>
        </w:tc>
        <w:tc>
          <w:tcPr>
            <w:tcW w:w="1585"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Adult &amp; Pediatric</w:t>
            </w:r>
          </w:p>
        </w:tc>
        <w:tc>
          <w:tcPr>
            <w:tcW w:w="5240"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 xml:space="preserve">TBI-related symptoms include somatic (e.g., headaches, visual disturbances), cognitive (e.g., attention and memory difficulties) and emotional </w:t>
            </w:r>
            <w:r w:rsidR="006A5B52">
              <w:t xml:space="preserve">(e.g., irritability) symptoms. </w:t>
            </w:r>
            <w:r w:rsidRPr="0021088D">
              <w:t>They are commonly reported after TBI or concussion and may persist in some cases at all levels of TBI severity.</w:t>
            </w:r>
          </w:p>
        </w:tc>
      </w:tr>
      <w:tr w:rsidR="0021088D" w:rsidRPr="0021088D" w:rsidTr="006A5B52">
        <w:trPr>
          <w:cantSplit/>
          <w:trHeight w:val="1290"/>
        </w:trPr>
        <w:tc>
          <w:tcPr>
            <w:tcW w:w="2985" w:type="dxa"/>
            <w:tcBorders>
              <w:top w:val="nil"/>
              <w:left w:val="single" w:sz="8" w:space="0" w:color="auto"/>
              <w:bottom w:val="single" w:sz="8" w:space="0" w:color="auto"/>
              <w:right w:val="single" w:sz="8" w:space="0" w:color="auto"/>
            </w:tcBorders>
            <w:shd w:val="clear" w:color="auto" w:fill="auto"/>
            <w:hideMark/>
          </w:tcPr>
          <w:p w:rsidR="0021088D" w:rsidRPr="0021088D" w:rsidRDefault="0021088D" w:rsidP="006A5B52">
            <w:r w:rsidRPr="0021088D">
              <w:lastRenderedPageBreak/>
              <w:t xml:space="preserve">Psychiatric and Psychological </w:t>
            </w:r>
            <w:r w:rsidR="00733E5E">
              <w:t>Status</w:t>
            </w:r>
          </w:p>
        </w:tc>
        <w:tc>
          <w:tcPr>
            <w:tcW w:w="1585" w:type="dxa"/>
            <w:tcBorders>
              <w:top w:val="nil"/>
              <w:left w:val="nil"/>
              <w:bottom w:val="single" w:sz="8" w:space="0" w:color="auto"/>
              <w:right w:val="single" w:sz="8" w:space="0" w:color="auto"/>
            </w:tcBorders>
            <w:shd w:val="clear" w:color="auto" w:fill="auto"/>
            <w:hideMark/>
          </w:tcPr>
          <w:p w:rsidR="0021088D" w:rsidRPr="0021088D" w:rsidRDefault="00733E5E" w:rsidP="006A5B52">
            <w:r>
              <w:t xml:space="preserve">Adult &amp; </w:t>
            </w:r>
            <w:r w:rsidR="0021088D" w:rsidRPr="0021088D">
              <w:t>Pediatric</w:t>
            </w:r>
          </w:p>
        </w:tc>
        <w:tc>
          <w:tcPr>
            <w:tcW w:w="5240" w:type="dxa"/>
            <w:tcBorders>
              <w:top w:val="nil"/>
              <w:left w:val="nil"/>
              <w:bottom w:val="single" w:sz="8" w:space="0" w:color="auto"/>
              <w:right w:val="single" w:sz="8" w:space="0" w:color="auto"/>
            </w:tcBorders>
            <w:shd w:val="clear" w:color="auto" w:fill="auto"/>
            <w:hideMark/>
          </w:tcPr>
          <w:p w:rsidR="0021088D" w:rsidRPr="0021088D" w:rsidRDefault="00733E5E" w:rsidP="006A5B52">
            <w:r w:rsidRPr="0021088D">
              <w:t xml:space="preserve">Psychological issues associated with TBI that affect outcomes include adjustment problems, personality changes (e.g., impulsivity), or mood disturbances. </w:t>
            </w:r>
            <w:r w:rsidR="0021088D" w:rsidRPr="0021088D">
              <w:t xml:space="preserve">In the context of pediatric TBI, psychological/psychiatric variables are behavioral and emotional constructs related to positive or negative functioning. </w:t>
            </w:r>
            <w:r w:rsidRPr="0021088D">
              <w:t>In addition, substance use disorders (SUD) are prevalent among persons with TBI and can have a substantial impact on long-term outcomes.</w:t>
            </w:r>
            <w:r>
              <w:t xml:space="preserve"> </w:t>
            </w:r>
            <w:r w:rsidR="0021088D" w:rsidRPr="0021088D">
              <w:t xml:space="preserve">These variables may be </w:t>
            </w:r>
            <w:proofErr w:type="spellStart"/>
            <w:r w:rsidR="0021088D" w:rsidRPr="0021088D">
              <w:t>premorbid</w:t>
            </w:r>
            <w:proofErr w:type="spellEnd"/>
            <w:r w:rsidR="0021088D" w:rsidRPr="0021088D">
              <w:t xml:space="preserve"> or posttraumatic in occurrence. Etiologies are both biologic and environmental.</w:t>
            </w:r>
          </w:p>
        </w:tc>
      </w:tr>
      <w:tr w:rsidR="0021088D" w:rsidRPr="0021088D" w:rsidTr="006A5B52">
        <w:trPr>
          <w:cantSplit/>
          <w:trHeight w:val="780"/>
        </w:trPr>
        <w:tc>
          <w:tcPr>
            <w:tcW w:w="2985" w:type="dxa"/>
            <w:tcBorders>
              <w:top w:val="nil"/>
              <w:left w:val="single" w:sz="8" w:space="0" w:color="auto"/>
              <w:bottom w:val="single" w:sz="8" w:space="0" w:color="auto"/>
              <w:right w:val="single" w:sz="8" w:space="0" w:color="auto"/>
            </w:tcBorders>
            <w:shd w:val="clear" w:color="000000" w:fill="FFFFFF"/>
            <w:hideMark/>
          </w:tcPr>
          <w:p w:rsidR="0021088D" w:rsidRPr="0021088D" w:rsidRDefault="0021088D" w:rsidP="006A5B52">
            <w:r w:rsidRPr="0021088D">
              <w:t>Recovery of Consciousness</w:t>
            </w:r>
            <w:r w:rsidR="00733E5E">
              <w:t xml:space="preserve"> and Memory Recovery</w:t>
            </w:r>
          </w:p>
        </w:tc>
        <w:tc>
          <w:tcPr>
            <w:tcW w:w="1585"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Adult &amp; Pediatric</w:t>
            </w:r>
          </w:p>
        </w:tc>
        <w:tc>
          <w:tcPr>
            <w:tcW w:w="5240" w:type="dxa"/>
            <w:tcBorders>
              <w:top w:val="nil"/>
              <w:left w:val="nil"/>
              <w:bottom w:val="single" w:sz="8" w:space="0" w:color="auto"/>
              <w:right w:val="single" w:sz="8" w:space="0" w:color="auto"/>
            </w:tcBorders>
            <w:shd w:val="clear" w:color="000000" w:fill="FFFFFF"/>
            <w:hideMark/>
          </w:tcPr>
          <w:p w:rsidR="0021088D" w:rsidRPr="0021088D" w:rsidRDefault="0021088D" w:rsidP="006A5B52">
            <w:r w:rsidRPr="0021088D">
              <w:t xml:space="preserve">Duration of coma, level of consciousness and rate of </w:t>
            </w:r>
            <w:r w:rsidR="00733E5E">
              <w:t xml:space="preserve">memory </w:t>
            </w:r>
            <w:r w:rsidRPr="0021088D">
              <w:t>recovery contribute significantly to functional outcome, and play a key role in treat</w:t>
            </w:r>
            <w:r w:rsidR="006A5B52">
              <w:t xml:space="preserve">ment and disposition planning. </w:t>
            </w:r>
          </w:p>
        </w:tc>
      </w:tr>
      <w:tr w:rsidR="0021088D" w:rsidRPr="0021088D" w:rsidTr="006A5B52">
        <w:trPr>
          <w:cantSplit/>
          <w:trHeight w:val="1290"/>
        </w:trPr>
        <w:tc>
          <w:tcPr>
            <w:tcW w:w="2985" w:type="dxa"/>
            <w:tcBorders>
              <w:top w:val="nil"/>
              <w:left w:val="single" w:sz="8" w:space="0" w:color="auto"/>
              <w:bottom w:val="single" w:sz="8" w:space="0" w:color="auto"/>
              <w:right w:val="single" w:sz="8" w:space="0" w:color="auto"/>
            </w:tcBorders>
            <w:shd w:val="clear" w:color="auto" w:fill="auto"/>
            <w:hideMark/>
          </w:tcPr>
          <w:p w:rsidR="0021088D" w:rsidRPr="0021088D" w:rsidRDefault="0021088D" w:rsidP="006A5B52">
            <w:r w:rsidRPr="0021088D">
              <w:t>Social Cognition</w:t>
            </w:r>
          </w:p>
        </w:tc>
        <w:tc>
          <w:tcPr>
            <w:tcW w:w="1585" w:type="dxa"/>
            <w:tcBorders>
              <w:top w:val="nil"/>
              <w:left w:val="nil"/>
              <w:bottom w:val="single" w:sz="8" w:space="0" w:color="auto"/>
              <w:right w:val="single" w:sz="8" w:space="0" w:color="auto"/>
            </w:tcBorders>
            <w:shd w:val="clear" w:color="auto" w:fill="auto"/>
            <w:hideMark/>
          </w:tcPr>
          <w:p w:rsidR="0021088D" w:rsidRPr="0021088D" w:rsidRDefault="0021088D" w:rsidP="006A5B52">
            <w:r w:rsidRPr="0021088D">
              <w:t>Pediatric</w:t>
            </w:r>
          </w:p>
        </w:tc>
        <w:tc>
          <w:tcPr>
            <w:tcW w:w="5240" w:type="dxa"/>
            <w:tcBorders>
              <w:top w:val="nil"/>
              <w:left w:val="nil"/>
              <w:bottom w:val="single" w:sz="8" w:space="0" w:color="auto"/>
              <w:right w:val="single" w:sz="8" w:space="0" w:color="auto"/>
            </w:tcBorders>
            <w:shd w:val="clear" w:color="auto" w:fill="auto"/>
            <w:hideMark/>
          </w:tcPr>
          <w:p w:rsidR="0021088D" w:rsidRPr="0021088D" w:rsidRDefault="0021088D" w:rsidP="006A5B52">
            <w:r w:rsidRPr="0021088D">
              <w:t>Social cognition refers to the cognitive processes necessary for successful social interaction. A growing body of literature has documented impairments in this domain after TBI, in some cases independent of other cognitive impairments.</w:t>
            </w:r>
          </w:p>
        </w:tc>
      </w:tr>
      <w:tr w:rsidR="0021088D" w:rsidRPr="0021088D" w:rsidTr="006A5B52">
        <w:trPr>
          <w:cantSplit/>
          <w:trHeight w:val="1575"/>
        </w:trPr>
        <w:tc>
          <w:tcPr>
            <w:tcW w:w="2985" w:type="dxa"/>
            <w:tcBorders>
              <w:top w:val="single" w:sz="8" w:space="0" w:color="auto"/>
              <w:left w:val="single" w:sz="8" w:space="0" w:color="auto"/>
              <w:bottom w:val="single" w:sz="8" w:space="0" w:color="auto"/>
              <w:right w:val="single" w:sz="8" w:space="0" w:color="auto"/>
            </w:tcBorders>
            <w:shd w:val="clear" w:color="000000" w:fill="FFFFFF"/>
            <w:hideMark/>
          </w:tcPr>
          <w:p w:rsidR="0021088D" w:rsidRPr="0021088D" w:rsidRDefault="0021088D" w:rsidP="006A5B52">
            <w:r w:rsidRPr="0021088D">
              <w:t>Social Role Participation and Social Competence</w:t>
            </w:r>
          </w:p>
        </w:tc>
        <w:tc>
          <w:tcPr>
            <w:tcW w:w="1585" w:type="dxa"/>
            <w:tcBorders>
              <w:top w:val="single" w:sz="8" w:space="0" w:color="auto"/>
              <w:left w:val="nil"/>
              <w:bottom w:val="single" w:sz="8" w:space="0" w:color="auto"/>
              <w:right w:val="single" w:sz="8" w:space="0" w:color="auto"/>
            </w:tcBorders>
            <w:shd w:val="clear" w:color="000000" w:fill="FFFFFF"/>
            <w:hideMark/>
          </w:tcPr>
          <w:p w:rsidR="0021088D" w:rsidRPr="0021088D" w:rsidRDefault="0021088D" w:rsidP="006A5B52">
            <w:r w:rsidRPr="0021088D">
              <w:t>Adult &amp; Pediatric</w:t>
            </w:r>
          </w:p>
        </w:tc>
        <w:tc>
          <w:tcPr>
            <w:tcW w:w="5240" w:type="dxa"/>
            <w:tcBorders>
              <w:top w:val="single" w:sz="8" w:space="0" w:color="auto"/>
              <w:left w:val="nil"/>
              <w:bottom w:val="single" w:sz="8" w:space="0" w:color="auto"/>
              <w:right w:val="single" w:sz="8" w:space="0" w:color="auto"/>
            </w:tcBorders>
            <w:shd w:val="clear" w:color="000000" w:fill="FFFFFF"/>
            <w:hideMark/>
          </w:tcPr>
          <w:p w:rsidR="0021088D" w:rsidRPr="0021088D" w:rsidRDefault="0021088D" w:rsidP="006A5B52">
            <w:r w:rsidRPr="0021088D">
              <w:t>Participation is defined by the World Health Organization (WHO) as “involvement in life situations”,</w:t>
            </w:r>
            <w:r>
              <w:t xml:space="preserve"> </w:t>
            </w:r>
            <w:r w:rsidRPr="0021088D">
              <w:t>and commonly includes engagement in endeavors within one’s community. TBI affects many areas of participation including work/ productive activity, recreation and leisure pursuits, and social/ family role function.</w:t>
            </w:r>
          </w:p>
        </w:tc>
      </w:tr>
    </w:tbl>
    <w:p w:rsidR="00B05C30" w:rsidRDefault="00B05C30" w:rsidP="006A5B52"/>
    <w:sectPr w:rsidR="00B05C30" w:rsidSect="00527F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B9B" w:rsidRDefault="00F32B9B" w:rsidP="006A5B52">
      <w:r>
        <w:separator/>
      </w:r>
    </w:p>
  </w:endnote>
  <w:endnote w:type="continuationSeparator" w:id="0">
    <w:p w:rsidR="00F32B9B" w:rsidRDefault="00F32B9B" w:rsidP="006A5B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54" w:rsidRDefault="00DA65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FE2" w:rsidRDefault="00DA6554" w:rsidP="006A5B52">
    <w:pPr>
      <w:pStyle w:val="Footer"/>
      <w:tabs>
        <w:tab w:val="clear" w:pos="4680"/>
      </w:tabs>
    </w:pPr>
    <w:r>
      <w:t xml:space="preserve">TBI CDE Version </w:t>
    </w:r>
    <w:r>
      <w:t>3</w:t>
    </w:r>
    <w:r w:rsidR="006A5B52">
      <w:t>.0</w:t>
    </w:r>
    <w:r w:rsidR="006A5B52">
      <w:tab/>
    </w:r>
    <w:r w:rsidR="00527FE2">
      <w:t xml:space="preserve">Page </w:t>
    </w:r>
    <w:r w:rsidR="002D7F20">
      <w:fldChar w:fldCharType="begin"/>
    </w:r>
    <w:r w:rsidR="00527FE2">
      <w:instrText xml:space="preserve"> PAGE </w:instrText>
    </w:r>
    <w:r w:rsidR="002D7F20">
      <w:fldChar w:fldCharType="separate"/>
    </w:r>
    <w:r>
      <w:rPr>
        <w:noProof/>
      </w:rPr>
      <w:t>2</w:t>
    </w:r>
    <w:r w:rsidR="002D7F20">
      <w:fldChar w:fldCharType="end"/>
    </w:r>
    <w:r w:rsidR="00527FE2">
      <w:t xml:space="preserve"> of </w:t>
    </w:r>
    <w:r w:rsidR="002D7F20">
      <w:fldChar w:fldCharType="begin"/>
    </w:r>
    <w:r w:rsidR="009D3535">
      <w:instrText xml:space="preserve"> NUMPAGES  </w:instrText>
    </w:r>
    <w:r w:rsidR="002D7F20">
      <w:fldChar w:fldCharType="separate"/>
    </w:r>
    <w:r>
      <w:rPr>
        <w:noProof/>
      </w:rPr>
      <w:t>3</w:t>
    </w:r>
    <w:r w:rsidR="002D7F20">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54" w:rsidRDefault="00DA65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B9B" w:rsidRDefault="00F32B9B" w:rsidP="006A5B52">
      <w:r>
        <w:separator/>
      </w:r>
    </w:p>
  </w:footnote>
  <w:footnote w:type="continuationSeparator" w:id="0">
    <w:p w:rsidR="00F32B9B" w:rsidRDefault="00F32B9B" w:rsidP="006A5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54" w:rsidRDefault="00DA65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F2" w:rsidRPr="00B32801" w:rsidRDefault="006C5CF2" w:rsidP="006A5B52">
    <w:pPr>
      <w:pStyle w:val="Heading1"/>
    </w:pPr>
    <w:r w:rsidRPr="00B32801">
      <w:t>Traumatic Brain Injury (TBI) Outcome Domains and Descriptions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54" w:rsidRDefault="00DA65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5CF2"/>
    <w:rsid w:val="00040F54"/>
    <w:rsid w:val="00043EA5"/>
    <w:rsid w:val="000706E3"/>
    <w:rsid w:val="00090B9D"/>
    <w:rsid w:val="00113104"/>
    <w:rsid w:val="00116AC2"/>
    <w:rsid w:val="00121A6F"/>
    <w:rsid w:val="00130A18"/>
    <w:rsid w:val="001A71AD"/>
    <w:rsid w:val="001D1C08"/>
    <w:rsid w:val="0021088D"/>
    <w:rsid w:val="002D7F20"/>
    <w:rsid w:val="00314C54"/>
    <w:rsid w:val="00316FB3"/>
    <w:rsid w:val="003376FE"/>
    <w:rsid w:val="00351146"/>
    <w:rsid w:val="003561F9"/>
    <w:rsid w:val="00362883"/>
    <w:rsid w:val="003C60D0"/>
    <w:rsid w:val="004577F5"/>
    <w:rsid w:val="00527FE2"/>
    <w:rsid w:val="005808BA"/>
    <w:rsid w:val="00582D42"/>
    <w:rsid w:val="005B31A7"/>
    <w:rsid w:val="005D5532"/>
    <w:rsid w:val="00601DA1"/>
    <w:rsid w:val="006147AE"/>
    <w:rsid w:val="00697DB5"/>
    <w:rsid w:val="006A5B52"/>
    <w:rsid w:val="006C5CF2"/>
    <w:rsid w:val="006D566B"/>
    <w:rsid w:val="00701FCB"/>
    <w:rsid w:val="007229AB"/>
    <w:rsid w:val="00733E5E"/>
    <w:rsid w:val="00780713"/>
    <w:rsid w:val="007C1D37"/>
    <w:rsid w:val="007D42E7"/>
    <w:rsid w:val="008110C7"/>
    <w:rsid w:val="00822E1B"/>
    <w:rsid w:val="00824131"/>
    <w:rsid w:val="008C0004"/>
    <w:rsid w:val="00902F3C"/>
    <w:rsid w:val="00903A47"/>
    <w:rsid w:val="009D3535"/>
    <w:rsid w:val="00A0353C"/>
    <w:rsid w:val="00A55E29"/>
    <w:rsid w:val="00B05C30"/>
    <w:rsid w:val="00B252D9"/>
    <w:rsid w:val="00B32801"/>
    <w:rsid w:val="00B32E09"/>
    <w:rsid w:val="00BA416F"/>
    <w:rsid w:val="00BA7542"/>
    <w:rsid w:val="00CC5796"/>
    <w:rsid w:val="00D32D26"/>
    <w:rsid w:val="00DA6554"/>
    <w:rsid w:val="00DB0993"/>
    <w:rsid w:val="00E61F33"/>
    <w:rsid w:val="00E81C42"/>
    <w:rsid w:val="00EA6F21"/>
    <w:rsid w:val="00EB79C5"/>
    <w:rsid w:val="00EC7C62"/>
    <w:rsid w:val="00EE7005"/>
    <w:rsid w:val="00F32B9B"/>
    <w:rsid w:val="00F970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B52"/>
    <w:rPr>
      <w:rFonts w:ascii="Arial" w:eastAsia="Times New Roman" w:hAnsi="Arial" w:cs="Arial"/>
      <w:color w:val="000000"/>
    </w:rPr>
  </w:style>
  <w:style w:type="paragraph" w:styleId="Heading1">
    <w:name w:val="heading 1"/>
    <w:basedOn w:val="Normal"/>
    <w:next w:val="Normal"/>
    <w:link w:val="Heading1Char"/>
    <w:uiPriority w:val="9"/>
    <w:qFormat/>
    <w:rsid w:val="006A5B52"/>
    <w:pPr>
      <w:keepNext/>
      <w:spacing w:before="240" w:after="60" w:line="360" w:lineRule="auto"/>
      <w:outlineLvl w:val="0"/>
    </w:pPr>
    <w:rPr>
      <w:rFonts w:eastAsiaTheme="majorEastAsia" w:cstheme="majorBidi"/>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CF2"/>
    <w:pPr>
      <w:tabs>
        <w:tab w:val="center" w:pos="4680"/>
        <w:tab w:val="right" w:pos="9360"/>
      </w:tabs>
    </w:pPr>
  </w:style>
  <w:style w:type="character" w:customStyle="1" w:styleId="HeaderChar">
    <w:name w:val="Header Char"/>
    <w:basedOn w:val="DefaultParagraphFont"/>
    <w:link w:val="Header"/>
    <w:uiPriority w:val="99"/>
    <w:rsid w:val="006C5C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5CF2"/>
    <w:pPr>
      <w:tabs>
        <w:tab w:val="center" w:pos="4680"/>
        <w:tab w:val="right" w:pos="9360"/>
      </w:tabs>
    </w:pPr>
  </w:style>
  <w:style w:type="character" w:customStyle="1" w:styleId="FooterChar">
    <w:name w:val="Footer Char"/>
    <w:basedOn w:val="DefaultParagraphFont"/>
    <w:link w:val="Footer"/>
    <w:uiPriority w:val="99"/>
    <w:rsid w:val="006C5C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3E5E"/>
    <w:rPr>
      <w:rFonts w:ascii="Tahoma" w:hAnsi="Tahoma" w:cs="Tahoma"/>
      <w:sz w:val="16"/>
      <w:szCs w:val="16"/>
    </w:rPr>
  </w:style>
  <w:style w:type="character" w:customStyle="1" w:styleId="BalloonTextChar">
    <w:name w:val="Balloon Text Char"/>
    <w:basedOn w:val="DefaultParagraphFont"/>
    <w:link w:val="BalloonText"/>
    <w:uiPriority w:val="99"/>
    <w:semiHidden/>
    <w:rsid w:val="00733E5E"/>
    <w:rPr>
      <w:rFonts w:ascii="Tahoma" w:eastAsia="Times New Roman" w:hAnsi="Tahoma" w:cs="Tahoma"/>
      <w:sz w:val="16"/>
      <w:szCs w:val="16"/>
    </w:rPr>
  </w:style>
  <w:style w:type="character" w:customStyle="1" w:styleId="Heading1Char">
    <w:name w:val="Heading 1 Char"/>
    <w:basedOn w:val="DefaultParagraphFont"/>
    <w:link w:val="Heading1"/>
    <w:uiPriority w:val="9"/>
    <w:rsid w:val="006A5B52"/>
    <w:rPr>
      <w:rFonts w:ascii="Arial" w:eastAsiaTheme="majorEastAsia" w:hAnsi="Arial" w:cstheme="majorBidi"/>
      <w:b/>
      <w:bCs/>
      <w:color w:val="000000"/>
      <w:kern w:val="32"/>
      <w:sz w:val="28"/>
      <w:szCs w:val="32"/>
    </w:rPr>
  </w:style>
  <w:style w:type="paragraph" w:styleId="Caption">
    <w:name w:val="caption"/>
    <w:basedOn w:val="Normal"/>
    <w:next w:val="Normal"/>
    <w:uiPriority w:val="35"/>
    <w:unhideWhenUsed/>
    <w:qFormat/>
    <w:rsid w:val="009D3535"/>
    <w:rPr>
      <w:b/>
      <w:bCs/>
    </w:rPr>
  </w:style>
</w:styles>
</file>

<file path=word/webSettings.xml><?xml version="1.0" encoding="utf-8"?>
<w:webSettings xmlns:r="http://schemas.openxmlformats.org/officeDocument/2006/relationships" xmlns:w="http://schemas.openxmlformats.org/wordprocessingml/2006/main">
  <w:divs>
    <w:div w:id="11352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5471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KAI Research, Inc.</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Outcome Domains and Descriptions</dc:title>
  <dc:subject>Guideline Document</dc:subject>
  <dc:creator>NINDS</dc:creator>
  <cp:keywords>NINDS, Guideline Document, Traumatic Brain Injury Outcome Domains and</cp:keywords>
  <cp:lastModifiedBy>Sherita Alai</cp:lastModifiedBy>
  <cp:revision>2</cp:revision>
  <cp:lastPrinted>2012-06-22T12:44:00Z</cp:lastPrinted>
  <dcterms:created xsi:type="dcterms:W3CDTF">2017-02-08T16:39:00Z</dcterms:created>
  <dcterms:modified xsi:type="dcterms:W3CDTF">2017-02-08T16:39:00Z</dcterms:modified>
  <cp:category>Guideline Document</cp:category>
  <cp:contentStatus>508 Compliant</cp:contentStatus>
</cp:coreProperties>
</file>