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89" w:rsidRPr="00DB7BF9" w:rsidRDefault="00952689" w:rsidP="008D599F">
      <w:pPr>
        <w:pStyle w:val="Heading2"/>
        <w:rPr>
          <w:lang w:val="en-US"/>
        </w:rPr>
      </w:pPr>
      <w:r w:rsidRPr="00DB7BF9">
        <w:rPr>
          <w:lang w:val="en-US"/>
        </w:rPr>
        <w:t>Probe Placement</w:t>
      </w:r>
    </w:p>
    <w:p w:rsidR="00952689" w:rsidRPr="00DB7BF9" w:rsidRDefault="00952689" w:rsidP="00952689">
      <w:pPr>
        <w:numPr>
          <w:ilvl w:val="0"/>
          <w:numId w:val="2"/>
        </w:numPr>
        <w:tabs>
          <w:tab w:val="clear" w:pos="1080"/>
          <w:tab w:val="num" w:pos="810"/>
        </w:tabs>
        <w:spacing w:line="360" w:lineRule="auto"/>
        <w:ind w:left="810"/>
        <w:rPr>
          <w:rFonts w:ascii="Arial" w:hAnsi="Arial" w:cs="Arial"/>
          <w:sz w:val="20"/>
          <w:szCs w:val="20"/>
          <w:lang w:val="en-US"/>
        </w:rPr>
      </w:pPr>
      <w:r w:rsidRPr="00DB7BF9">
        <w:rPr>
          <w:rFonts w:ascii="Arial" w:hAnsi="Arial"/>
          <w:sz w:val="20"/>
          <w:szCs w:val="20"/>
          <w:lang w:val="en-US"/>
        </w:rPr>
        <w:t xml:space="preserve">In TBI, placement in peri-contusional at risk tissue is recommended and if the option for placement of a second probe is available, the second probe should be placed in normal tissue. </w:t>
      </w:r>
    </w:p>
    <w:p w:rsidR="00952689" w:rsidRPr="00DB7BF9" w:rsidRDefault="00952689" w:rsidP="00952689">
      <w:pPr>
        <w:numPr>
          <w:ilvl w:val="0"/>
          <w:numId w:val="2"/>
        </w:numPr>
        <w:tabs>
          <w:tab w:val="clear" w:pos="1080"/>
          <w:tab w:val="num" w:pos="810"/>
        </w:tabs>
        <w:spacing w:line="360" w:lineRule="auto"/>
        <w:ind w:left="810"/>
        <w:rPr>
          <w:rFonts w:ascii="Arial" w:hAnsi="Arial" w:cs="Arial"/>
          <w:sz w:val="20"/>
          <w:szCs w:val="20"/>
          <w:lang w:val="en-US"/>
        </w:rPr>
      </w:pPr>
      <w:r w:rsidRPr="00DB7BF9">
        <w:rPr>
          <w:rFonts w:ascii="Arial" w:hAnsi="Arial" w:cs="Arial"/>
          <w:sz w:val="20"/>
          <w:szCs w:val="20"/>
          <w:lang w:val="en-US"/>
        </w:rPr>
        <w:t>Probe placement directly into contusions is of no value</w:t>
      </w:r>
    </w:p>
    <w:p w:rsidR="00952689" w:rsidRPr="00DB7BF9" w:rsidRDefault="00952689" w:rsidP="00952689">
      <w:pPr>
        <w:numPr>
          <w:ilvl w:val="0"/>
          <w:numId w:val="2"/>
        </w:numPr>
        <w:tabs>
          <w:tab w:val="clear" w:pos="1080"/>
          <w:tab w:val="num" w:pos="810"/>
        </w:tabs>
        <w:spacing w:line="360" w:lineRule="auto"/>
        <w:ind w:left="810"/>
        <w:rPr>
          <w:rFonts w:ascii="Arial" w:hAnsi="Arial" w:cs="Arial"/>
          <w:sz w:val="20"/>
          <w:szCs w:val="20"/>
          <w:lang w:val="en-US"/>
        </w:rPr>
      </w:pPr>
      <w:r w:rsidRPr="00DB7BF9">
        <w:rPr>
          <w:rFonts w:ascii="Arial" w:hAnsi="Arial" w:cs="Arial"/>
          <w:sz w:val="20"/>
          <w:szCs w:val="20"/>
          <w:lang w:val="en-US"/>
        </w:rPr>
        <w:t>In case of diffuse injury, probe placement should be in the right frontal lobe.</w:t>
      </w:r>
    </w:p>
    <w:p w:rsidR="00952689" w:rsidRPr="00DB7BF9" w:rsidRDefault="00952689" w:rsidP="008D599F">
      <w:pPr>
        <w:pStyle w:val="Heading2"/>
        <w:rPr>
          <w:lang w:val="en-US"/>
        </w:rPr>
      </w:pPr>
      <w:r w:rsidRPr="00DB7BF9">
        <w:rPr>
          <w:lang w:val="en-US"/>
        </w:rPr>
        <w:t>Probe Characteristics</w:t>
      </w:r>
    </w:p>
    <w:p w:rsidR="00952689" w:rsidRPr="00DB7BF9" w:rsidRDefault="00952689" w:rsidP="00952689">
      <w:pPr>
        <w:widowControl w:val="0"/>
        <w:numPr>
          <w:ilvl w:val="1"/>
          <w:numId w:val="3"/>
        </w:numPr>
        <w:tabs>
          <w:tab w:val="left" w:pos="810"/>
        </w:tabs>
        <w:autoSpaceDE w:val="0"/>
        <w:autoSpaceDN w:val="0"/>
        <w:adjustRightInd w:val="0"/>
        <w:spacing w:line="360" w:lineRule="auto"/>
        <w:ind w:left="810" w:hanging="360"/>
        <w:rPr>
          <w:rFonts w:ascii="Arial" w:hAnsi="Arial" w:cs="Arial"/>
          <w:sz w:val="20"/>
          <w:szCs w:val="20"/>
          <w:lang w:val="en-US"/>
        </w:rPr>
      </w:pPr>
      <w:r w:rsidRPr="00DB7BF9">
        <w:rPr>
          <w:rFonts w:ascii="Arial" w:hAnsi="Arial" w:cs="Arial"/>
          <w:sz w:val="20"/>
          <w:szCs w:val="20"/>
          <w:lang w:val="en-US"/>
        </w:rPr>
        <w:t>Concentric configuration commercially available probes are preferable to locally fabricated probes.</w:t>
      </w:r>
    </w:p>
    <w:p w:rsidR="00952689" w:rsidRPr="00DB7BF9" w:rsidRDefault="00952689" w:rsidP="00952689">
      <w:pPr>
        <w:widowControl w:val="0"/>
        <w:numPr>
          <w:ilvl w:val="1"/>
          <w:numId w:val="3"/>
        </w:numPr>
        <w:tabs>
          <w:tab w:val="left" w:pos="810"/>
        </w:tabs>
        <w:autoSpaceDE w:val="0"/>
        <w:autoSpaceDN w:val="0"/>
        <w:adjustRightInd w:val="0"/>
        <w:spacing w:line="360" w:lineRule="auto"/>
        <w:ind w:left="810" w:hanging="360"/>
        <w:rPr>
          <w:rFonts w:ascii="Arial" w:hAnsi="Arial" w:cs="Arial"/>
          <w:sz w:val="20"/>
          <w:szCs w:val="20"/>
          <w:lang w:val="en-US"/>
        </w:rPr>
      </w:pPr>
      <w:r w:rsidRPr="00DB7BF9">
        <w:rPr>
          <w:rFonts w:ascii="Arial" w:hAnsi="Arial" w:cs="Arial"/>
          <w:sz w:val="20"/>
          <w:szCs w:val="20"/>
          <w:lang w:val="en-US"/>
        </w:rPr>
        <w:t>Low molecular weight cut-off probes have been in use for many years and are available worldwide (Shores and Knapp, 2007).</w:t>
      </w:r>
    </w:p>
    <w:p w:rsidR="00952689" w:rsidRPr="00DB7BF9" w:rsidRDefault="00952689" w:rsidP="00952689">
      <w:pPr>
        <w:widowControl w:val="0"/>
        <w:numPr>
          <w:ilvl w:val="1"/>
          <w:numId w:val="3"/>
        </w:numPr>
        <w:tabs>
          <w:tab w:val="left" w:pos="810"/>
        </w:tabs>
        <w:autoSpaceDE w:val="0"/>
        <w:autoSpaceDN w:val="0"/>
        <w:adjustRightInd w:val="0"/>
        <w:spacing w:line="360" w:lineRule="auto"/>
        <w:ind w:left="810" w:hanging="360"/>
        <w:rPr>
          <w:rFonts w:ascii="Arial" w:hAnsi="Arial" w:cs="Arial"/>
          <w:sz w:val="20"/>
          <w:szCs w:val="20"/>
          <w:lang w:val="en-US"/>
        </w:rPr>
      </w:pPr>
      <w:r w:rsidRPr="00DB7BF9">
        <w:rPr>
          <w:rFonts w:ascii="Arial" w:hAnsi="Arial" w:cs="Arial"/>
          <w:sz w:val="20"/>
          <w:szCs w:val="20"/>
          <w:lang w:val="en-US"/>
        </w:rPr>
        <w:t>Higher molecular weight cut-off probes are available but have not passed regulatory clearance in all jurisdictions including the USA.</w:t>
      </w:r>
    </w:p>
    <w:p w:rsidR="00952689" w:rsidRPr="00DB7BF9" w:rsidRDefault="00952689" w:rsidP="00952689">
      <w:pPr>
        <w:widowControl w:val="0"/>
        <w:numPr>
          <w:ilvl w:val="1"/>
          <w:numId w:val="3"/>
        </w:numPr>
        <w:tabs>
          <w:tab w:val="left" w:pos="810"/>
        </w:tabs>
        <w:autoSpaceDE w:val="0"/>
        <w:autoSpaceDN w:val="0"/>
        <w:adjustRightInd w:val="0"/>
        <w:spacing w:line="360" w:lineRule="auto"/>
        <w:ind w:left="810" w:hanging="360"/>
        <w:rPr>
          <w:rFonts w:ascii="Arial" w:hAnsi="Arial" w:cs="Arial"/>
          <w:sz w:val="20"/>
          <w:szCs w:val="20"/>
          <w:lang w:val="en-US"/>
        </w:rPr>
      </w:pPr>
      <w:r w:rsidRPr="00DB7BF9">
        <w:rPr>
          <w:rFonts w:ascii="Arial" w:hAnsi="Arial" w:cs="Arial"/>
          <w:sz w:val="20"/>
          <w:szCs w:val="20"/>
          <w:lang w:val="en-US"/>
        </w:rPr>
        <w:t>Probe molecular weight cut-off, manufacturer and model must be specified in all data reporting.</w:t>
      </w:r>
    </w:p>
    <w:p w:rsidR="00952689" w:rsidRPr="00DB7BF9" w:rsidRDefault="00952689" w:rsidP="008D599F">
      <w:pPr>
        <w:pStyle w:val="Heading2"/>
        <w:rPr>
          <w:lang w:val="en-US"/>
        </w:rPr>
      </w:pPr>
      <w:r w:rsidRPr="00DB7BF9">
        <w:rPr>
          <w:lang w:val="en-US"/>
        </w:rPr>
        <w:t>Microdialysate Characteristics</w:t>
      </w:r>
    </w:p>
    <w:p w:rsidR="00952689" w:rsidRPr="00DB7BF9" w:rsidRDefault="00952689" w:rsidP="00952689">
      <w:pPr>
        <w:widowControl w:val="0"/>
        <w:numPr>
          <w:ilvl w:val="1"/>
          <w:numId w:val="4"/>
        </w:numPr>
        <w:tabs>
          <w:tab w:val="left" w:pos="810"/>
        </w:tabs>
        <w:autoSpaceDE w:val="0"/>
        <w:autoSpaceDN w:val="0"/>
        <w:adjustRightInd w:val="0"/>
        <w:spacing w:line="360" w:lineRule="auto"/>
        <w:ind w:left="810" w:hanging="360"/>
        <w:rPr>
          <w:rFonts w:ascii="Arial" w:hAnsi="Arial" w:cs="Arial"/>
          <w:sz w:val="20"/>
          <w:szCs w:val="20"/>
          <w:lang w:val="en-US"/>
        </w:rPr>
      </w:pPr>
      <w:r w:rsidRPr="00DB7BF9">
        <w:rPr>
          <w:rFonts w:ascii="Arial" w:hAnsi="Arial" w:cs="Arial"/>
          <w:sz w:val="20"/>
          <w:szCs w:val="20"/>
          <w:lang w:val="en-US"/>
        </w:rPr>
        <w:t>Any of the following microdialysate fluids are acceptable:</w:t>
      </w:r>
    </w:p>
    <w:p w:rsidR="00952689" w:rsidRPr="00DB7BF9" w:rsidRDefault="00952689" w:rsidP="00952689">
      <w:pPr>
        <w:widowControl w:val="0"/>
        <w:numPr>
          <w:ilvl w:val="2"/>
          <w:numId w:val="4"/>
        </w:numPr>
        <w:tabs>
          <w:tab w:val="left" w:pos="810"/>
        </w:tabs>
        <w:autoSpaceDE w:val="0"/>
        <w:autoSpaceDN w:val="0"/>
        <w:adjustRightInd w:val="0"/>
        <w:spacing w:line="360" w:lineRule="auto"/>
        <w:rPr>
          <w:rFonts w:ascii="Arial" w:hAnsi="Arial" w:cs="Arial"/>
          <w:sz w:val="20"/>
          <w:szCs w:val="20"/>
          <w:lang w:val="en-US"/>
        </w:rPr>
      </w:pPr>
      <w:r w:rsidRPr="00DB7BF9">
        <w:rPr>
          <w:rFonts w:ascii="Arial" w:hAnsi="Arial" w:cs="Arial"/>
          <w:sz w:val="20"/>
          <w:szCs w:val="20"/>
          <w:lang w:val="en-US"/>
        </w:rPr>
        <w:t>Artificial CSF</w:t>
      </w:r>
    </w:p>
    <w:p w:rsidR="00952689" w:rsidRPr="00DB7BF9" w:rsidRDefault="00952689" w:rsidP="00952689">
      <w:pPr>
        <w:widowControl w:val="0"/>
        <w:numPr>
          <w:ilvl w:val="2"/>
          <w:numId w:val="4"/>
        </w:numPr>
        <w:tabs>
          <w:tab w:val="left" w:pos="810"/>
        </w:tabs>
        <w:autoSpaceDE w:val="0"/>
        <w:autoSpaceDN w:val="0"/>
        <w:adjustRightInd w:val="0"/>
        <w:spacing w:line="360" w:lineRule="auto"/>
        <w:rPr>
          <w:rFonts w:ascii="Arial" w:hAnsi="Arial" w:cs="Arial"/>
          <w:sz w:val="20"/>
          <w:szCs w:val="20"/>
          <w:lang w:val="en-US"/>
        </w:rPr>
      </w:pPr>
      <w:r w:rsidRPr="00DB7BF9">
        <w:rPr>
          <w:rFonts w:ascii="Arial" w:hAnsi="Arial" w:cs="Arial"/>
          <w:sz w:val="20"/>
          <w:szCs w:val="20"/>
          <w:lang w:val="en-US"/>
        </w:rPr>
        <w:t xml:space="preserve">Sterile medical grade normal saline </w:t>
      </w:r>
    </w:p>
    <w:p w:rsidR="00952689" w:rsidRPr="00DB7BF9" w:rsidRDefault="00952689" w:rsidP="00952689">
      <w:pPr>
        <w:widowControl w:val="0"/>
        <w:numPr>
          <w:ilvl w:val="1"/>
          <w:numId w:val="4"/>
        </w:numPr>
        <w:tabs>
          <w:tab w:val="left" w:pos="810"/>
        </w:tabs>
        <w:autoSpaceDE w:val="0"/>
        <w:autoSpaceDN w:val="0"/>
        <w:adjustRightInd w:val="0"/>
        <w:spacing w:line="360" w:lineRule="auto"/>
        <w:ind w:left="810" w:hanging="360"/>
        <w:rPr>
          <w:rFonts w:ascii="Arial" w:hAnsi="Arial" w:cs="Arial"/>
          <w:sz w:val="20"/>
          <w:szCs w:val="20"/>
          <w:lang w:val="en-US"/>
        </w:rPr>
      </w:pPr>
      <w:r w:rsidRPr="00DB7BF9">
        <w:rPr>
          <w:rFonts w:ascii="Arial" w:hAnsi="Arial" w:cs="Arial"/>
          <w:sz w:val="20"/>
          <w:szCs w:val="20"/>
          <w:lang w:val="en-US"/>
        </w:rPr>
        <w:t>The composition and source of the microdialysate must be specified in all data reporting</w:t>
      </w:r>
    </w:p>
    <w:p w:rsidR="00952689" w:rsidRPr="00DB7BF9" w:rsidRDefault="00952689" w:rsidP="008D599F">
      <w:pPr>
        <w:pStyle w:val="Heading2"/>
        <w:rPr>
          <w:lang w:val="en-US"/>
        </w:rPr>
      </w:pPr>
      <w:r w:rsidRPr="00DB7BF9">
        <w:rPr>
          <w:lang w:val="en-US"/>
        </w:rPr>
        <w:t>Sample Acquisition</w:t>
      </w:r>
    </w:p>
    <w:p w:rsidR="00952689" w:rsidRPr="00DB7BF9" w:rsidRDefault="00952689" w:rsidP="00952689">
      <w:pPr>
        <w:widowControl w:val="0"/>
        <w:numPr>
          <w:ilvl w:val="0"/>
          <w:numId w:val="5"/>
        </w:numPr>
        <w:autoSpaceDE w:val="0"/>
        <w:autoSpaceDN w:val="0"/>
        <w:adjustRightInd w:val="0"/>
        <w:spacing w:line="360" w:lineRule="auto"/>
        <w:ind w:left="810"/>
        <w:rPr>
          <w:rFonts w:ascii="Arial" w:hAnsi="Arial" w:cs="Arial"/>
          <w:sz w:val="20"/>
          <w:szCs w:val="20"/>
          <w:lang w:val="en-US"/>
        </w:rPr>
      </w:pPr>
      <w:r w:rsidRPr="00DB7BF9">
        <w:rPr>
          <w:rFonts w:ascii="Arial" w:hAnsi="Arial" w:cs="Arial"/>
          <w:sz w:val="20"/>
          <w:szCs w:val="20"/>
          <w:lang w:val="en-US"/>
        </w:rPr>
        <w:t xml:space="preserve">The microdialysate flow rate should be 0.3 μL/min so that it is theoretically possible to </w:t>
      </w:r>
      <w:r w:rsidR="00DB7BF9">
        <w:rPr>
          <w:rFonts w:ascii="Arial" w:hAnsi="Arial" w:cs="Arial"/>
          <w:sz w:val="20"/>
          <w:szCs w:val="20"/>
          <w:lang w:val="en-US"/>
        </w:rPr>
        <w:t xml:space="preserve">collect 18 μL during one hour. </w:t>
      </w:r>
      <w:r w:rsidRPr="00DB7BF9">
        <w:rPr>
          <w:rFonts w:ascii="Arial" w:hAnsi="Arial" w:cs="Arial"/>
          <w:sz w:val="20"/>
          <w:szCs w:val="20"/>
          <w:lang w:val="en-US"/>
        </w:rPr>
        <w:t>This flow rate assures near 100% analyte recovery for common low molecular weight analytes.</w:t>
      </w:r>
    </w:p>
    <w:p w:rsidR="00952689" w:rsidRPr="00DB7BF9" w:rsidRDefault="00952689" w:rsidP="00952689">
      <w:pPr>
        <w:widowControl w:val="0"/>
        <w:numPr>
          <w:ilvl w:val="0"/>
          <w:numId w:val="5"/>
        </w:numPr>
        <w:autoSpaceDE w:val="0"/>
        <w:autoSpaceDN w:val="0"/>
        <w:adjustRightInd w:val="0"/>
        <w:spacing w:line="360" w:lineRule="auto"/>
        <w:ind w:left="810"/>
        <w:rPr>
          <w:rFonts w:ascii="Arial" w:hAnsi="Arial" w:cs="Arial"/>
          <w:sz w:val="20"/>
          <w:szCs w:val="20"/>
          <w:lang w:val="en-US"/>
        </w:rPr>
      </w:pPr>
      <w:r w:rsidRPr="00DB7BF9">
        <w:rPr>
          <w:rFonts w:ascii="Arial" w:hAnsi="Arial" w:cs="Arial"/>
          <w:sz w:val="20"/>
          <w:szCs w:val="20"/>
          <w:lang w:val="en-US"/>
        </w:rPr>
        <w:t>Due to the extremely small sample volumes, the samples are sensitive to evaporation even though they are “sealed ” in the microvials and since microvials may contain different volumes, the effect of evaporation</w:t>
      </w:r>
      <w:r w:rsidR="00DB7BF9">
        <w:rPr>
          <w:rFonts w:ascii="Arial" w:hAnsi="Arial" w:cs="Arial"/>
          <w:sz w:val="20"/>
          <w:szCs w:val="20"/>
          <w:lang w:val="en-US"/>
        </w:rPr>
        <w:t xml:space="preserve"> can vary between the samples. </w:t>
      </w:r>
      <w:r w:rsidRPr="00DB7BF9">
        <w:rPr>
          <w:rFonts w:ascii="Arial" w:hAnsi="Arial" w:cs="Arial"/>
          <w:sz w:val="20"/>
          <w:szCs w:val="20"/>
          <w:lang w:val="en-US"/>
        </w:rPr>
        <w:t>Characteristics of the collecting containers must be reported.</w:t>
      </w:r>
    </w:p>
    <w:p w:rsidR="00952689" w:rsidRPr="00DB7BF9" w:rsidRDefault="00952689" w:rsidP="00952689">
      <w:pPr>
        <w:widowControl w:val="0"/>
        <w:numPr>
          <w:ilvl w:val="0"/>
          <w:numId w:val="5"/>
        </w:numPr>
        <w:autoSpaceDE w:val="0"/>
        <w:autoSpaceDN w:val="0"/>
        <w:adjustRightInd w:val="0"/>
        <w:spacing w:line="360" w:lineRule="auto"/>
        <w:ind w:left="810"/>
        <w:rPr>
          <w:rFonts w:ascii="Arial" w:hAnsi="Arial" w:cs="Arial"/>
          <w:sz w:val="20"/>
          <w:szCs w:val="20"/>
          <w:lang w:val="en-US"/>
        </w:rPr>
      </w:pPr>
      <w:r w:rsidRPr="00DB7BF9">
        <w:rPr>
          <w:rFonts w:ascii="Arial" w:hAnsi="Arial" w:cs="Arial"/>
          <w:sz w:val="20"/>
          <w:szCs w:val="20"/>
          <w:lang w:val="en-US"/>
        </w:rPr>
        <w:t>Samples should be analyzed and/or stored promptly.</w:t>
      </w:r>
    </w:p>
    <w:p w:rsidR="00952689" w:rsidRPr="00DB7BF9" w:rsidRDefault="00952689" w:rsidP="008D599F">
      <w:pPr>
        <w:pStyle w:val="Heading2"/>
        <w:rPr>
          <w:lang w:val="en-US"/>
        </w:rPr>
      </w:pPr>
      <w:r w:rsidRPr="00DB7BF9">
        <w:rPr>
          <w:lang w:val="en-US"/>
        </w:rPr>
        <w:t>Analytes</w:t>
      </w:r>
    </w:p>
    <w:p w:rsidR="00952689" w:rsidRPr="00DB7BF9" w:rsidRDefault="00952689" w:rsidP="00952689">
      <w:pPr>
        <w:widowControl w:val="0"/>
        <w:numPr>
          <w:ilvl w:val="0"/>
          <w:numId w:val="6"/>
        </w:numPr>
        <w:autoSpaceDE w:val="0"/>
        <w:autoSpaceDN w:val="0"/>
        <w:adjustRightInd w:val="0"/>
        <w:spacing w:line="360" w:lineRule="auto"/>
        <w:ind w:left="720"/>
        <w:rPr>
          <w:rFonts w:ascii="Arial" w:hAnsi="Arial" w:cs="Arial"/>
          <w:sz w:val="20"/>
          <w:szCs w:val="20"/>
          <w:lang w:val="en-US"/>
        </w:rPr>
      </w:pPr>
      <w:r w:rsidRPr="00DB7BF9">
        <w:rPr>
          <w:rFonts w:ascii="Arial" w:hAnsi="Arial" w:cs="Arial"/>
          <w:sz w:val="20"/>
          <w:szCs w:val="20"/>
          <w:lang w:val="en-US"/>
        </w:rPr>
        <w:t xml:space="preserve">The minimal </w:t>
      </w:r>
      <w:r w:rsidR="00DB7BF9">
        <w:rPr>
          <w:rFonts w:ascii="Arial" w:hAnsi="Arial" w:cs="Arial"/>
          <w:sz w:val="20"/>
          <w:szCs w:val="20"/>
          <w:lang w:val="en-US"/>
        </w:rPr>
        <w:t xml:space="preserve">essential data set consists of </w:t>
      </w:r>
      <w:r w:rsidRPr="00DB7BF9">
        <w:rPr>
          <w:rFonts w:ascii="Arial" w:hAnsi="Arial" w:cs="Arial"/>
          <w:sz w:val="20"/>
          <w:szCs w:val="20"/>
          <w:lang w:val="en-US"/>
        </w:rPr>
        <w:t xml:space="preserve">glucose, pyruvate, lactate, with use of the calculated L/P ratio. </w:t>
      </w:r>
    </w:p>
    <w:p w:rsidR="00952689" w:rsidRPr="00DB7BF9" w:rsidRDefault="00952689" w:rsidP="00952689">
      <w:pPr>
        <w:widowControl w:val="0"/>
        <w:numPr>
          <w:ilvl w:val="0"/>
          <w:numId w:val="6"/>
        </w:numPr>
        <w:autoSpaceDE w:val="0"/>
        <w:autoSpaceDN w:val="0"/>
        <w:adjustRightInd w:val="0"/>
        <w:spacing w:line="360" w:lineRule="auto"/>
        <w:ind w:left="720"/>
        <w:rPr>
          <w:rFonts w:ascii="Arial" w:hAnsi="Arial" w:cs="Arial"/>
          <w:sz w:val="20"/>
          <w:szCs w:val="20"/>
          <w:lang w:val="en-US"/>
        </w:rPr>
      </w:pPr>
      <w:r w:rsidRPr="00DB7BF9">
        <w:rPr>
          <w:rFonts w:ascii="Arial" w:hAnsi="Arial" w:cs="Arial"/>
          <w:sz w:val="20"/>
          <w:szCs w:val="20"/>
          <w:lang w:val="en-US"/>
        </w:rPr>
        <w:t xml:space="preserve"> Measurement of glycerol and glutamate is recommended.</w:t>
      </w:r>
    </w:p>
    <w:p w:rsidR="00952689" w:rsidRPr="00DB7BF9" w:rsidRDefault="00952689" w:rsidP="00952689">
      <w:pPr>
        <w:widowControl w:val="0"/>
        <w:numPr>
          <w:ilvl w:val="0"/>
          <w:numId w:val="6"/>
        </w:numPr>
        <w:autoSpaceDE w:val="0"/>
        <w:autoSpaceDN w:val="0"/>
        <w:adjustRightInd w:val="0"/>
        <w:spacing w:line="360" w:lineRule="auto"/>
        <w:ind w:left="720"/>
        <w:rPr>
          <w:rFonts w:ascii="Arial" w:hAnsi="Arial" w:cs="Arial"/>
          <w:sz w:val="20"/>
          <w:szCs w:val="20"/>
          <w:lang w:val="en-US"/>
        </w:rPr>
      </w:pPr>
      <w:r w:rsidRPr="00DB7BF9">
        <w:rPr>
          <w:rFonts w:ascii="Arial" w:hAnsi="Arial" w:cs="Arial"/>
          <w:sz w:val="20"/>
          <w:szCs w:val="20"/>
          <w:lang w:val="en-US"/>
        </w:rPr>
        <w:t>Determination of other analytes including markers of neuroinflammation such as cytokines, nitrate and nitrite as surrogates for nitrous oxide, structural proteins such as GFAP, neurofilament, tau and stress reactants such as beta-amyloid</w:t>
      </w:r>
      <w:r w:rsidR="00DB7BF9">
        <w:rPr>
          <w:rFonts w:ascii="Arial" w:hAnsi="Arial" w:cs="Arial"/>
          <w:sz w:val="20"/>
          <w:szCs w:val="20"/>
          <w:lang w:val="en-US"/>
        </w:rPr>
        <w:t xml:space="preserve"> are all experimental. </w:t>
      </w:r>
      <w:r w:rsidRPr="00DB7BF9">
        <w:rPr>
          <w:rFonts w:ascii="Arial" w:hAnsi="Arial" w:cs="Arial"/>
          <w:sz w:val="20"/>
          <w:szCs w:val="20"/>
          <w:lang w:val="en-US"/>
        </w:rPr>
        <w:t>Analysis of these and other potential biomarkers should be encouraged but not required.</w:t>
      </w:r>
    </w:p>
    <w:p w:rsidR="00952689" w:rsidRPr="00DB7BF9" w:rsidRDefault="00952689" w:rsidP="008D599F">
      <w:pPr>
        <w:pStyle w:val="Heading2"/>
        <w:rPr>
          <w:lang w:val="en-US"/>
        </w:rPr>
      </w:pPr>
      <w:r w:rsidRPr="00DB7BF9">
        <w:rPr>
          <w:lang w:val="en-US"/>
        </w:rPr>
        <w:t>Analyte Stability During Storage</w:t>
      </w:r>
    </w:p>
    <w:p w:rsidR="00952689" w:rsidRPr="00DB7BF9" w:rsidRDefault="00952689" w:rsidP="00952689">
      <w:pPr>
        <w:widowControl w:val="0"/>
        <w:numPr>
          <w:ilvl w:val="0"/>
          <w:numId w:val="7"/>
        </w:numPr>
        <w:autoSpaceDE w:val="0"/>
        <w:autoSpaceDN w:val="0"/>
        <w:adjustRightInd w:val="0"/>
        <w:spacing w:line="360" w:lineRule="auto"/>
        <w:ind w:left="720"/>
        <w:rPr>
          <w:rFonts w:ascii="Arial" w:hAnsi="Arial" w:cs="Arial"/>
          <w:sz w:val="20"/>
          <w:szCs w:val="20"/>
          <w:lang w:val="en-US"/>
        </w:rPr>
      </w:pPr>
      <w:r w:rsidRPr="00DB7BF9">
        <w:rPr>
          <w:rFonts w:ascii="Arial" w:hAnsi="Arial" w:cs="Arial"/>
          <w:sz w:val="20"/>
          <w:szCs w:val="20"/>
          <w:lang w:val="en-US"/>
        </w:rPr>
        <w:t xml:space="preserve">The essential low molecular weight </w:t>
      </w:r>
      <w:r w:rsidR="00DB7BF9">
        <w:rPr>
          <w:rFonts w:ascii="Arial" w:hAnsi="Arial" w:cs="Arial"/>
          <w:sz w:val="20"/>
          <w:szCs w:val="20"/>
          <w:lang w:val="en-US"/>
        </w:rPr>
        <w:t xml:space="preserve">analytes are stable at -70 ºC. </w:t>
      </w:r>
      <w:r w:rsidRPr="00DB7BF9">
        <w:rPr>
          <w:rFonts w:ascii="Arial" w:hAnsi="Arial" w:cs="Arial"/>
          <w:sz w:val="20"/>
          <w:szCs w:val="20"/>
          <w:lang w:val="en-US"/>
        </w:rPr>
        <w:t xml:space="preserve">The samples should be stored </w:t>
      </w:r>
      <w:r w:rsidRPr="00DB7BF9">
        <w:rPr>
          <w:rFonts w:ascii="Arial" w:hAnsi="Arial" w:cs="Arial"/>
          <w:sz w:val="20"/>
          <w:szCs w:val="20"/>
          <w:lang w:val="en-US"/>
        </w:rPr>
        <w:lastRenderedPageBreak/>
        <w:t>at this temperature in containers designed to minimize evaporative losses</w:t>
      </w:r>
    </w:p>
    <w:p w:rsidR="00952689" w:rsidRPr="00DB7BF9" w:rsidRDefault="00952689" w:rsidP="00952689">
      <w:pPr>
        <w:widowControl w:val="0"/>
        <w:numPr>
          <w:ilvl w:val="0"/>
          <w:numId w:val="7"/>
        </w:numPr>
        <w:autoSpaceDE w:val="0"/>
        <w:autoSpaceDN w:val="0"/>
        <w:adjustRightInd w:val="0"/>
        <w:spacing w:line="360" w:lineRule="auto"/>
        <w:ind w:left="720"/>
        <w:rPr>
          <w:rFonts w:ascii="Arial" w:hAnsi="Arial" w:cs="Arial"/>
          <w:sz w:val="20"/>
          <w:szCs w:val="20"/>
          <w:lang w:val="en-US"/>
        </w:rPr>
      </w:pPr>
      <w:r w:rsidRPr="00DB7BF9">
        <w:rPr>
          <w:rFonts w:ascii="Arial" w:hAnsi="Arial" w:cs="Arial"/>
          <w:sz w:val="20"/>
          <w:szCs w:val="20"/>
          <w:lang w:val="en-US"/>
        </w:rPr>
        <w:t xml:space="preserve"> Analytes, particularly pyruvate</w:t>
      </w:r>
      <w:r w:rsidR="00DB7BF9">
        <w:rPr>
          <w:rFonts w:ascii="Arial" w:hAnsi="Arial" w:cs="Arial"/>
          <w:sz w:val="20"/>
          <w:szCs w:val="20"/>
          <w:lang w:val="en-US"/>
        </w:rPr>
        <w:t xml:space="preserve">, may not be stable at -20 ºC. </w:t>
      </w:r>
      <w:r w:rsidRPr="00DB7BF9">
        <w:rPr>
          <w:rFonts w:ascii="Arial" w:hAnsi="Arial" w:cs="Arial"/>
          <w:sz w:val="20"/>
          <w:szCs w:val="20"/>
          <w:lang w:val="en-US"/>
        </w:rPr>
        <w:t>Storage at this temperature is not acceptable with the exception of temporary holding for not more than 3 days.</w:t>
      </w:r>
    </w:p>
    <w:p w:rsidR="00952689" w:rsidRPr="00DB7BF9" w:rsidRDefault="00952689" w:rsidP="00952689">
      <w:pPr>
        <w:widowControl w:val="0"/>
        <w:numPr>
          <w:ilvl w:val="0"/>
          <w:numId w:val="7"/>
        </w:numPr>
        <w:autoSpaceDE w:val="0"/>
        <w:autoSpaceDN w:val="0"/>
        <w:adjustRightInd w:val="0"/>
        <w:spacing w:line="360" w:lineRule="auto"/>
        <w:ind w:left="720"/>
        <w:rPr>
          <w:rFonts w:ascii="Arial" w:hAnsi="Arial" w:cs="Arial"/>
          <w:sz w:val="20"/>
          <w:szCs w:val="20"/>
          <w:lang w:val="en-US"/>
        </w:rPr>
      </w:pPr>
      <w:r w:rsidRPr="00DB7BF9">
        <w:rPr>
          <w:rFonts w:ascii="Arial" w:hAnsi="Arial" w:cs="Arial"/>
          <w:sz w:val="20"/>
          <w:szCs w:val="20"/>
          <w:lang w:val="en-US"/>
        </w:rPr>
        <w:t>Determination of other analytes including markers of neuroinflammation such as cytokines, nitrate and nitrite as surrogates for nitrous oxide, structural proteins such as GFAP, neurofilament, tau and stress reactants such as beta</w:t>
      </w:r>
      <w:r w:rsidR="00DB7BF9">
        <w:rPr>
          <w:rFonts w:ascii="Arial" w:hAnsi="Arial" w:cs="Arial"/>
          <w:sz w:val="20"/>
          <w:szCs w:val="20"/>
          <w:lang w:val="en-US"/>
        </w:rPr>
        <w:t xml:space="preserve">-amyloid are all experimental. </w:t>
      </w:r>
      <w:r w:rsidRPr="00DB7BF9">
        <w:rPr>
          <w:rFonts w:ascii="Arial" w:hAnsi="Arial" w:cs="Arial"/>
          <w:sz w:val="20"/>
          <w:szCs w:val="20"/>
          <w:lang w:val="en-US"/>
        </w:rPr>
        <w:t>Analysis of these and other potential biomarkers should be encouraged but not required.</w:t>
      </w:r>
    </w:p>
    <w:p w:rsidR="00952689" w:rsidRPr="00DB7BF9" w:rsidRDefault="00952689" w:rsidP="008D599F">
      <w:pPr>
        <w:pStyle w:val="Heading2"/>
        <w:rPr>
          <w:lang w:val="en-US"/>
        </w:rPr>
      </w:pPr>
      <w:r w:rsidRPr="00DB7BF9">
        <w:rPr>
          <w:lang w:val="en-US"/>
        </w:rPr>
        <w:t>Handling of Samples at the Time of Analysis</w:t>
      </w:r>
    </w:p>
    <w:p w:rsidR="00952689" w:rsidRPr="00DB7BF9" w:rsidRDefault="00952689" w:rsidP="00952689">
      <w:pPr>
        <w:widowControl w:val="0"/>
        <w:numPr>
          <w:ilvl w:val="0"/>
          <w:numId w:val="8"/>
        </w:numPr>
        <w:tabs>
          <w:tab w:val="clear" w:pos="1080"/>
          <w:tab w:val="num" w:pos="720"/>
        </w:tabs>
        <w:autoSpaceDE w:val="0"/>
        <w:autoSpaceDN w:val="0"/>
        <w:adjustRightInd w:val="0"/>
        <w:spacing w:line="360" w:lineRule="auto"/>
        <w:ind w:left="720"/>
        <w:rPr>
          <w:rFonts w:ascii="Arial" w:hAnsi="Arial" w:cs="Arial"/>
          <w:sz w:val="20"/>
          <w:szCs w:val="20"/>
          <w:lang w:val="en-US"/>
        </w:rPr>
      </w:pPr>
      <w:r w:rsidRPr="00DB7BF9">
        <w:rPr>
          <w:rFonts w:ascii="Arial" w:hAnsi="Arial" w:cs="Arial"/>
          <w:sz w:val="20"/>
          <w:szCs w:val="20"/>
          <w:lang w:val="en-US"/>
        </w:rPr>
        <w:t>If the samples have been frozen, then they must be thawed prior to analysis. It is important to recognize physicochemical events that may occur in the process of thawing that</w:t>
      </w:r>
      <w:r w:rsidR="00DB7BF9">
        <w:rPr>
          <w:rFonts w:ascii="Arial" w:hAnsi="Arial" w:cs="Arial"/>
          <w:sz w:val="20"/>
          <w:szCs w:val="20"/>
          <w:lang w:val="en-US"/>
        </w:rPr>
        <w:t xml:space="preserve"> might cause analytical errors.</w:t>
      </w:r>
      <w:r w:rsidRPr="00DB7BF9">
        <w:rPr>
          <w:rFonts w:ascii="Arial" w:hAnsi="Arial" w:cs="Arial"/>
          <w:sz w:val="20"/>
          <w:szCs w:val="20"/>
          <w:lang w:val="en-US"/>
        </w:rPr>
        <w:t xml:space="preserve"> As the samples thaw, the liquid phase will initially contain a very high concentration of salt and analytes. As the thawing progresses, the solution will be diluted by the melting ice. During this process there is a risk that the thawed samples are non-homogeneous; therefore recommended that the samples be thawed and then agitated or centrifuged to assure homogeneous distribution of analyte.</w:t>
      </w:r>
    </w:p>
    <w:p w:rsidR="00952689" w:rsidRPr="00DB7BF9" w:rsidRDefault="00952689" w:rsidP="00952689">
      <w:pPr>
        <w:widowControl w:val="0"/>
        <w:numPr>
          <w:ilvl w:val="0"/>
          <w:numId w:val="8"/>
        </w:numPr>
        <w:tabs>
          <w:tab w:val="clear" w:pos="1080"/>
          <w:tab w:val="num" w:pos="720"/>
        </w:tabs>
        <w:autoSpaceDE w:val="0"/>
        <w:autoSpaceDN w:val="0"/>
        <w:adjustRightInd w:val="0"/>
        <w:spacing w:line="360" w:lineRule="auto"/>
        <w:ind w:left="720"/>
        <w:rPr>
          <w:rFonts w:ascii="Arial" w:hAnsi="Arial" w:cs="Arial"/>
          <w:sz w:val="20"/>
          <w:szCs w:val="20"/>
          <w:lang w:val="en-US"/>
        </w:rPr>
      </w:pPr>
      <w:r w:rsidRPr="00DB7BF9">
        <w:rPr>
          <w:rFonts w:ascii="Arial" w:hAnsi="Arial" w:cs="Arial"/>
          <w:sz w:val="20"/>
          <w:szCs w:val="20"/>
          <w:lang w:val="en-US"/>
        </w:rPr>
        <w:t>It may be desirable to thaw the samples rapidly in a heating cupboard at +40 ºC for about 10 minutes. Longer times and/or higher temperatures, however, should not be used as these may result in a risk for unacceptable evaporation.</w:t>
      </w:r>
    </w:p>
    <w:p w:rsidR="00952689" w:rsidRPr="00DB7BF9" w:rsidRDefault="00952689" w:rsidP="00952689">
      <w:pPr>
        <w:widowControl w:val="0"/>
        <w:numPr>
          <w:ilvl w:val="0"/>
          <w:numId w:val="8"/>
        </w:numPr>
        <w:tabs>
          <w:tab w:val="clear" w:pos="1080"/>
          <w:tab w:val="num" w:pos="720"/>
        </w:tabs>
        <w:autoSpaceDE w:val="0"/>
        <w:autoSpaceDN w:val="0"/>
        <w:adjustRightInd w:val="0"/>
        <w:spacing w:line="360" w:lineRule="auto"/>
        <w:ind w:left="720"/>
        <w:rPr>
          <w:rFonts w:ascii="Arial" w:hAnsi="Arial" w:cs="Arial"/>
          <w:sz w:val="20"/>
          <w:szCs w:val="20"/>
          <w:lang w:val="en-US"/>
        </w:rPr>
      </w:pPr>
      <w:r w:rsidRPr="00DB7BF9">
        <w:rPr>
          <w:rFonts w:ascii="Arial" w:hAnsi="Arial" w:cs="Arial"/>
          <w:sz w:val="20"/>
          <w:szCs w:val="20"/>
          <w:lang w:val="en-US"/>
        </w:rPr>
        <w:t>Stored samples may be assayed usi</w:t>
      </w:r>
      <w:r w:rsidR="00DB7BF9">
        <w:rPr>
          <w:rFonts w:ascii="Arial" w:hAnsi="Arial" w:cs="Arial"/>
          <w:sz w:val="20"/>
          <w:szCs w:val="20"/>
          <w:lang w:val="en-US"/>
        </w:rPr>
        <w:t xml:space="preserve">ng the batch analysis systems. </w:t>
      </w:r>
      <w:r w:rsidRPr="00DB7BF9">
        <w:rPr>
          <w:rFonts w:ascii="Arial" w:hAnsi="Arial" w:cs="Arial"/>
          <w:sz w:val="20"/>
          <w:szCs w:val="20"/>
          <w:lang w:val="en-US"/>
        </w:rPr>
        <w:t>However if the low volume samples sit for too long in the analyzer prior to analysis, unacc</w:t>
      </w:r>
      <w:r w:rsidR="00DB7BF9">
        <w:rPr>
          <w:rFonts w:ascii="Arial" w:hAnsi="Arial" w:cs="Arial"/>
          <w:sz w:val="20"/>
          <w:szCs w:val="20"/>
          <w:lang w:val="en-US"/>
        </w:rPr>
        <w:t xml:space="preserve">eptable evaporation may occur. </w:t>
      </w:r>
      <w:bookmarkStart w:id="0" w:name="_GoBack"/>
      <w:bookmarkEnd w:id="0"/>
      <w:r w:rsidRPr="00DB7BF9">
        <w:rPr>
          <w:rFonts w:ascii="Arial" w:hAnsi="Arial" w:cs="Arial"/>
          <w:sz w:val="20"/>
          <w:szCs w:val="20"/>
          <w:lang w:val="en-US"/>
        </w:rPr>
        <w:t>Calibration samples should be interspersed in the batch to detect a systematic elevation in analyte levels due to evaporative loss.</w:t>
      </w:r>
    </w:p>
    <w:p w:rsidR="00952689" w:rsidRPr="00DB7BF9" w:rsidRDefault="00952689" w:rsidP="008D599F">
      <w:pPr>
        <w:pStyle w:val="Heading2"/>
        <w:rPr>
          <w:lang w:val="en-US"/>
        </w:rPr>
      </w:pPr>
      <w:r w:rsidRPr="00DB7BF9">
        <w:rPr>
          <w:lang w:val="en-US"/>
        </w:rPr>
        <w:t>Microdialysis Data Reporting</w:t>
      </w:r>
    </w:p>
    <w:p w:rsidR="00952689" w:rsidRPr="00DB7BF9" w:rsidRDefault="00952689" w:rsidP="00DA1FBC">
      <w:pPr>
        <w:widowControl w:val="0"/>
        <w:numPr>
          <w:ilvl w:val="0"/>
          <w:numId w:val="9"/>
        </w:numPr>
        <w:autoSpaceDE w:val="0"/>
        <w:autoSpaceDN w:val="0"/>
        <w:adjustRightInd w:val="0"/>
        <w:spacing w:line="360" w:lineRule="auto"/>
        <w:rPr>
          <w:rFonts w:ascii="Arial" w:hAnsi="Arial" w:cs="Arial"/>
          <w:sz w:val="20"/>
          <w:szCs w:val="20"/>
          <w:lang w:val="en-US"/>
        </w:rPr>
      </w:pPr>
      <w:r w:rsidRPr="00DB7BF9">
        <w:rPr>
          <w:rFonts w:ascii="Arial" w:hAnsi="Arial" w:cs="Arial"/>
          <w:sz w:val="20"/>
          <w:szCs w:val="20"/>
          <w:lang w:val="en-US"/>
        </w:rPr>
        <w:t>Analyte concentrations should be reported in SI units.</w:t>
      </w:r>
    </w:p>
    <w:p w:rsidR="00952689" w:rsidRPr="00DB7BF9" w:rsidRDefault="00952689" w:rsidP="00DA1FBC">
      <w:pPr>
        <w:widowControl w:val="0"/>
        <w:numPr>
          <w:ilvl w:val="0"/>
          <w:numId w:val="9"/>
        </w:numPr>
        <w:autoSpaceDE w:val="0"/>
        <w:autoSpaceDN w:val="0"/>
        <w:adjustRightInd w:val="0"/>
        <w:spacing w:line="360" w:lineRule="auto"/>
        <w:rPr>
          <w:rFonts w:ascii="Arial" w:hAnsi="Arial" w:cs="Arial"/>
          <w:sz w:val="20"/>
          <w:szCs w:val="20"/>
          <w:lang w:val="en-US"/>
        </w:rPr>
      </w:pPr>
      <w:r w:rsidRPr="00DB7BF9">
        <w:rPr>
          <w:rFonts w:ascii="Arial" w:hAnsi="Arial" w:cs="Arial"/>
          <w:sz w:val="20"/>
          <w:szCs w:val="20"/>
          <w:lang w:val="en-US"/>
        </w:rPr>
        <w:t xml:space="preserve">Ratios such as the L/P ratio are devoid of units. </w:t>
      </w:r>
    </w:p>
    <w:p w:rsidR="00720A71" w:rsidRPr="00DB7BF9" w:rsidRDefault="00720A71" w:rsidP="008D599F">
      <w:pPr>
        <w:pStyle w:val="Heading2"/>
        <w:rPr>
          <w:lang w:val="en-US"/>
        </w:rPr>
      </w:pPr>
      <w:r w:rsidRPr="00DB7BF9">
        <w:rPr>
          <w:lang w:val="en-US"/>
        </w:rPr>
        <w:t>References</w:t>
      </w:r>
    </w:p>
    <w:p w:rsidR="00720A71" w:rsidRPr="00DB7BF9" w:rsidRDefault="00720A71" w:rsidP="00720A71">
      <w:pPr>
        <w:widowControl w:val="0"/>
        <w:autoSpaceDE w:val="0"/>
        <w:autoSpaceDN w:val="0"/>
        <w:adjustRightInd w:val="0"/>
        <w:spacing w:line="360" w:lineRule="auto"/>
        <w:rPr>
          <w:rFonts w:ascii="Arial" w:hAnsi="Arial" w:cs="Arial"/>
          <w:sz w:val="20"/>
          <w:szCs w:val="20"/>
          <w:lang w:val="en-US"/>
        </w:rPr>
      </w:pPr>
      <w:r w:rsidRPr="00DB7BF9">
        <w:rPr>
          <w:rFonts w:ascii="Arial" w:hAnsi="Arial" w:cs="Arial"/>
          <w:sz w:val="20"/>
          <w:szCs w:val="20"/>
          <w:lang w:val="en-US"/>
        </w:rPr>
        <w:t>Shores KS, Knapp DR. (2007) Assessment approach for evaluating high abundance protein depletion methods for cerebrospinal fluid (CSF) proteomic analysis. J. Proteome Res. 6:3739-3751.</w:t>
      </w:r>
    </w:p>
    <w:sectPr w:rsidR="00720A71" w:rsidRPr="00DB7BF9" w:rsidSect="00B05C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92" w:rsidRDefault="00B15892" w:rsidP="00291223">
      <w:r>
        <w:separator/>
      </w:r>
    </w:p>
  </w:endnote>
  <w:endnote w:type="continuationSeparator" w:id="0">
    <w:p w:rsidR="00B15892" w:rsidRDefault="00B15892" w:rsidP="0029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23" w:rsidRPr="00291223" w:rsidRDefault="00DA1FBC" w:rsidP="00DA1FBC">
    <w:pPr>
      <w:pStyle w:val="Footer"/>
      <w:tabs>
        <w:tab w:val="clear" w:pos="4680"/>
      </w:tabs>
      <w:rPr>
        <w:rFonts w:ascii="Arial" w:hAnsi="Arial" w:cs="Arial"/>
        <w:sz w:val="20"/>
        <w:szCs w:val="20"/>
      </w:rPr>
    </w:pPr>
    <w:r>
      <w:rPr>
        <w:rFonts w:ascii="Arial" w:hAnsi="Arial" w:cs="Arial"/>
        <w:sz w:val="20"/>
        <w:szCs w:val="20"/>
      </w:rPr>
      <w:t>TBI CDE Version 2.0</w:t>
    </w:r>
    <w:r>
      <w:rPr>
        <w:rFonts w:ascii="Arial" w:hAnsi="Arial" w:cs="Arial"/>
        <w:sz w:val="20"/>
        <w:szCs w:val="20"/>
      </w:rPr>
      <w:tab/>
    </w:r>
    <w:r w:rsidR="00291223" w:rsidRPr="0067442A">
      <w:rPr>
        <w:rFonts w:ascii="Arial" w:hAnsi="Arial" w:cs="Arial"/>
        <w:sz w:val="20"/>
        <w:szCs w:val="20"/>
      </w:rPr>
      <w:t xml:space="preserve">Page </w:t>
    </w:r>
    <w:r w:rsidR="00291223" w:rsidRPr="0067442A">
      <w:rPr>
        <w:rFonts w:ascii="Arial" w:hAnsi="Arial" w:cs="Arial"/>
        <w:sz w:val="20"/>
        <w:szCs w:val="20"/>
      </w:rPr>
      <w:fldChar w:fldCharType="begin"/>
    </w:r>
    <w:r w:rsidR="00291223" w:rsidRPr="0067442A">
      <w:rPr>
        <w:rFonts w:ascii="Arial" w:hAnsi="Arial" w:cs="Arial"/>
        <w:sz w:val="20"/>
        <w:szCs w:val="20"/>
      </w:rPr>
      <w:instrText xml:space="preserve"> PAGE </w:instrText>
    </w:r>
    <w:r w:rsidR="00291223" w:rsidRPr="0067442A">
      <w:rPr>
        <w:rFonts w:ascii="Arial" w:hAnsi="Arial" w:cs="Arial"/>
        <w:sz w:val="20"/>
        <w:szCs w:val="20"/>
      </w:rPr>
      <w:fldChar w:fldCharType="separate"/>
    </w:r>
    <w:r w:rsidR="00DB7BF9">
      <w:rPr>
        <w:rFonts w:ascii="Arial" w:hAnsi="Arial" w:cs="Arial"/>
        <w:noProof/>
        <w:sz w:val="20"/>
        <w:szCs w:val="20"/>
      </w:rPr>
      <w:t>1</w:t>
    </w:r>
    <w:r w:rsidR="00291223" w:rsidRPr="0067442A">
      <w:rPr>
        <w:rFonts w:ascii="Arial" w:hAnsi="Arial" w:cs="Arial"/>
        <w:sz w:val="20"/>
        <w:szCs w:val="20"/>
      </w:rPr>
      <w:fldChar w:fldCharType="end"/>
    </w:r>
    <w:r w:rsidR="00291223" w:rsidRPr="0067442A">
      <w:rPr>
        <w:rFonts w:ascii="Arial" w:hAnsi="Arial" w:cs="Arial"/>
        <w:sz w:val="20"/>
        <w:szCs w:val="20"/>
      </w:rPr>
      <w:t xml:space="preserve"> of </w:t>
    </w:r>
    <w:r w:rsidR="00291223" w:rsidRPr="0067442A">
      <w:rPr>
        <w:rFonts w:ascii="Arial" w:hAnsi="Arial" w:cs="Arial"/>
        <w:sz w:val="20"/>
        <w:szCs w:val="20"/>
      </w:rPr>
      <w:fldChar w:fldCharType="begin"/>
    </w:r>
    <w:r w:rsidR="00291223" w:rsidRPr="0067442A">
      <w:rPr>
        <w:rFonts w:ascii="Arial" w:hAnsi="Arial" w:cs="Arial"/>
        <w:sz w:val="20"/>
        <w:szCs w:val="20"/>
      </w:rPr>
      <w:instrText xml:space="preserve"> NUMPAGES  </w:instrText>
    </w:r>
    <w:r w:rsidR="00291223" w:rsidRPr="0067442A">
      <w:rPr>
        <w:rFonts w:ascii="Arial" w:hAnsi="Arial" w:cs="Arial"/>
        <w:sz w:val="20"/>
        <w:szCs w:val="20"/>
      </w:rPr>
      <w:fldChar w:fldCharType="separate"/>
    </w:r>
    <w:r w:rsidR="00DB7BF9">
      <w:rPr>
        <w:rFonts w:ascii="Arial" w:hAnsi="Arial" w:cs="Arial"/>
        <w:noProof/>
        <w:sz w:val="20"/>
        <w:szCs w:val="20"/>
      </w:rPr>
      <w:t>2</w:t>
    </w:r>
    <w:r w:rsidR="00291223" w:rsidRPr="0067442A">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92" w:rsidRDefault="00B15892" w:rsidP="00291223">
      <w:r>
        <w:separator/>
      </w:r>
    </w:p>
  </w:footnote>
  <w:footnote w:type="continuationSeparator" w:id="0">
    <w:p w:rsidR="00B15892" w:rsidRDefault="00B15892" w:rsidP="00291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23" w:rsidRPr="008D599F" w:rsidRDefault="00952689" w:rsidP="008D599F">
    <w:pPr>
      <w:pStyle w:val="Heading1"/>
    </w:pPr>
    <w:r w:rsidRPr="008D599F">
      <w:t>Cerebral Microdialysis Guidelines</w:t>
    </w:r>
    <w:r w:rsidR="00DB7BF9">
      <w:t xml:space="preserve"> (</w:t>
    </w:r>
    <w:r w:rsidR="00DB7BF9" w:rsidRPr="008D599F">
      <w:t>Table 4</w:t>
    </w:r>
    <w:r w:rsidR="00DB7BF9">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D24"/>
    <w:multiLevelType w:val="hybridMultilevel"/>
    <w:tmpl w:val="6E424988"/>
    <w:lvl w:ilvl="0" w:tplc="0409000F">
      <w:start w:val="1"/>
      <w:numFmt w:val="upperRoman"/>
      <w:lvlText w:val="%1."/>
      <w:lvlJc w:val="left"/>
      <w:pPr>
        <w:ind w:left="720" w:hanging="360"/>
      </w:pPr>
    </w:lvl>
    <w:lvl w:ilvl="1" w:tplc="5636B960">
      <w:start w:val="1"/>
      <w:numFmt w:val="upperRoman"/>
      <w:pStyle w:val="Heading2"/>
      <w:lvlText w:val="%2."/>
      <w:lvlJc w:val="left"/>
      <w:pPr>
        <w:ind w:left="180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B027A"/>
    <w:multiLevelType w:val="hybridMultilevel"/>
    <w:tmpl w:val="65E22B66"/>
    <w:lvl w:ilvl="0" w:tplc="0409001B">
      <w:start w:val="1"/>
      <w:numFmt w:val="upperLetter"/>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0260D"/>
    <w:multiLevelType w:val="hybridMultilevel"/>
    <w:tmpl w:val="0B8A1D10"/>
    <w:lvl w:ilvl="0" w:tplc="0409001B">
      <w:start w:val="1"/>
      <w:numFmt w:val="upperLetter"/>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C7483"/>
    <w:multiLevelType w:val="hybridMultilevel"/>
    <w:tmpl w:val="916A2538"/>
    <w:lvl w:ilvl="0" w:tplc="6BC6FC62">
      <w:start w:val="1"/>
      <w:numFmt w:val="upperLetter"/>
      <w:lvlText w:val="%1."/>
      <w:lvlJc w:val="left"/>
      <w:pPr>
        <w:tabs>
          <w:tab w:val="num" w:pos="1080"/>
        </w:tabs>
        <w:ind w:left="1080" w:hanging="360"/>
      </w:pPr>
      <w:rPr>
        <w:rFonts w:ascii="Arial" w:eastAsia="Times New Roman" w:hAnsi="Arial"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81870"/>
    <w:multiLevelType w:val="hybridMultilevel"/>
    <w:tmpl w:val="8B5E1B48"/>
    <w:lvl w:ilvl="0" w:tplc="0409001B">
      <w:start w:val="1"/>
      <w:numFmt w:val="upperLetter"/>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2201C8"/>
    <w:multiLevelType w:val="hybridMultilevel"/>
    <w:tmpl w:val="F002141C"/>
    <w:lvl w:ilvl="0" w:tplc="6BC6FC62">
      <w:start w:val="1"/>
      <w:numFmt w:val="upperLetter"/>
      <w:lvlText w:val="%1."/>
      <w:lvlJc w:val="left"/>
      <w:pPr>
        <w:tabs>
          <w:tab w:val="num" w:pos="1080"/>
        </w:tabs>
        <w:ind w:left="1080" w:hanging="360"/>
      </w:pPr>
      <w:rPr>
        <w:rFonts w:ascii="Arial" w:eastAsia="Times New Roman" w:hAnsi="Arial"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DE2B38"/>
    <w:multiLevelType w:val="hybridMultilevel"/>
    <w:tmpl w:val="916A2538"/>
    <w:lvl w:ilvl="0" w:tplc="6BC6FC62">
      <w:start w:val="1"/>
      <w:numFmt w:val="upperLetter"/>
      <w:lvlText w:val="%1."/>
      <w:lvlJc w:val="left"/>
      <w:pPr>
        <w:tabs>
          <w:tab w:val="num" w:pos="1080"/>
        </w:tabs>
        <w:ind w:left="1080" w:hanging="360"/>
      </w:pPr>
      <w:rPr>
        <w:rFonts w:ascii="Arial" w:eastAsia="Times New Roman" w:hAnsi="Arial"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7C53B5"/>
    <w:multiLevelType w:val="hybridMultilevel"/>
    <w:tmpl w:val="638C711C"/>
    <w:lvl w:ilvl="0" w:tplc="0409000F">
      <w:start w:val="1"/>
      <w:numFmt w:val="decimal"/>
      <w:lvlText w:val="%1."/>
      <w:lvlJc w:val="left"/>
      <w:pPr>
        <w:ind w:left="720" w:hanging="360"/>
      </w:pPr>
    </w:lvl>
    <w:lvl w:ilvl="1" w:tplc="644E6FC2">
      <w:start w:val="1"/>
      <w:numFmt w:val="upperLetter"/>
      <w:lvlText w:val="%2."/>
      <w:lvlJc w:val="left"/>
      <w:pPr>
        <w:ind w:left="126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984E9D"/>
    <w:multiLevelType w:val="hybridMultilevel"/>
    <w:tmpl w:val="9132D466"/>
    <w:lvl w:ilvl="0" w:tplc="0409000F">
      <w:start w:val="1"/>
      <w:numFmt w:val="decimal"/>
      <w:lvlText w:val="%1."/>
      <w:lvlJc w:val="left"/>
      <w:pPr>
        <w:ind w:left="720" w:hanging="360"/>
      </w:pPr>
    </w:lvl>
    <w:lvl w:ilvl="1" w:tplc="644E6FC2">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4"/>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ECE"/>
    <w:rsid w:val="00043EA5"/>
    <w:rsid w:val="00116AC2"/>
    <w:rsid w:val="00130A18"/>
    <w:rsid w:val="001A71AD"/>
    <w:rsid w:val="00291223"/>
    <w:rsid w:val="0030610C"/>
    <w:rsid w:val="003561F9"/>
    <w:rsid w:val="004577F5"/>
    <w:rsid w:val="005D5532"/>
    <w:rsid w:val="00601DA1"/>
    <w:rsid w:val="006147AE"/>
    <w:rsid w:val="007147D6"/>
    <w:rsid w:val="00720A71"/>
    <w:rsid w:val="007C1D37"/>
    <w:rsid w:val="00822E1B"/>
    <w:rsid w:val="00824131"/>
    <w:rsid w:val="00894ECE"/>
    <w:rsid w:val="008D599F"/>
    <w:rsid w:val="00952689"/>
    <w:rsid w:val="00A55E29"/>
    <w:rsid w:val="00B05C30"/>
    <w:rsid w:val="00B15892"/>
    <w:rsid w:val="00B32E09"/>
    <w:rsid w:val="00BD105C"/>
    <w:rsid w:val="00D32D26"/>
    <w:rsid w:val="00D67B5C"/>
    <w:rsid w:val="00DA1FBC"/>
    <w:rsid w:val="00DB0993"/>
    <w:rsid w:val="00DB7BF9"/>
    <w:rsid w:val="00E61F33"/>
    <w:rsid w:val="00EA6F21"/>
    <w:rsid w:val="00EC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41730-DD60-44B8-90C5-32C39D37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CE"/>
    <w:rPr>
      <w:rFonts w:ascii="Times New Roman" w:eastAsia="Times New Roman" w:hAnsi="Times New Roman"/>
      <w:sz w:val="24"/>
      <w:szCs w:val="24"/>
      <w:lang w:val="nl-NL" w:eastAsia="nl-NL"/>
    </w:rPr>
  </w:style>
  <w:style w:type="paragraph" w:styleId="Heading1">
    <w:name w:val="heading 1"/>
    <w:basedOn w:val="Normal"/>
    <w:next w:val="Normal"/>
    <w:link w:val="Heading1Char"/>
    <w:uiPriority w:val="9"/>
    <w:qFormat/>
    <w:rsid w:val="008D599F"/>
    <w:pPr>
      <w:spacing w:line="360" w:lineRule="auto"/>
      <w:jc w:val="center"/>
      <w:outlineLvl w:val="0"/>
    </w:pPr>
    <w:rPr>
      <w:rFonts w:ascii="Arial" w:hAnsi="Arial"/>
      <w:b/>
    </w:rPr>
  </w:style>
  <w:style w:type="paragraph" w:styleId="Heading2">
    <w:name w:val="heading 2"/>
    <w:basedOn w:val="Normal"/>
    <w:next w:val="Normal"/>
    <w:link w:val="Heading2Char"/>
    <w:uiPriority w:val="9"/>
    <w:unhideWhenUsed/>
    <w:qFormat/>
    <w:rsid w:val="008D599F"/>
    <w:pPr>
      <w:numPr>
        <w:ilvl w:val="1"/>
        <w:numId w:val="1"/>
      </w:numPr>
      <w:spacing w:line="360" w:lineRule="auto"/>
      <w:ind w:left="360" w:hanging="360"/>
      <w:outlineLvl w:val="1"/>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223"/>
    <w:pPr>
      <w:tabs>
        <w:tab w:val="center" w:pos="4680"/>
        <w:tab w:val="right" w:pos="9360"/>
      </w:tabs>
    </w:pPr>
  </w:style>
  <w:style w:type="character" w:customStyle="1" w:styleId="HeaderChar">
    <w:name w:val="Header Char"/>
    <w:basedOn w:val="DefaultParagraphFont"/>
    <w:link w:val="Header"/>
    <w:uiPriority w:val="99"/>
    <w:rsid w:val="00291223"/>
    <w:rPr>
      <w:rFonts w:ascii="Times New Roman" w:eastAsia="Times New Roman" w:hAnsi="Times New Roman"/>
      <w:sz w:val="24"/>
      <w:szCs w:val="24"/>
      <w:lang w:val="nl-NL" w:eastAsia="nl-NL"/>
    </w:rPr>
  </w:style>
  <w:style w:type="paragraph" w:styleId="Footer">
    <w:name w:val="footer"/>
    <w:basedOn w:val="Normal"/>
    <w:link w:val="FooterChar"/>
    <w:uiPriority w:val="99"/>
    <w:unhideWhenUsed/>
    <w:rsid w:val="00291223"/>
    <w:pPr>
      <w:tabs>
        <w:tab w:val="center" w:pos="4680"/>
        <w:tab w:val="right" w:pos="9360"/>
      </w:tabs>
    </w:pPr>
  </w:style>
  <w:style w:type="character" w:customStyle="1" w:styleId="FooterChar">
    <w:name w:val="Footer Char"/>
    <w:basedOn w:val="DefaultParagraphFont"/>
    <w:link w:val="Footer"/>
    <w:uiPriority w:val="99"/>
    <w:rsid w:val="00291223"/>
    <w:rPr>
      <w:rFonts w:ascii="Times New Roman" w:eastAsia="Times New Roman" w:hAnsi="Times New Roman"/>
      <w:sz w:val="24"/>
      <w:szCs w:val="24"/>
      <w:lang w:val="nl-NL" w:eastAsia="nl-NL"/>
    </w:rPr>
  </w:style>
  <w:style w:type="character" w:customStyle="1" w:styleId="Heading2Char">
    <w:name w:val="Heading 2 Char"/>
    <w:basedOn w:val="DefaultParagraphFont"/>
    <w:link w:val="Heading2"/>
    <w:uiPriority w:val="9"/>
    <w:rsid w:val="008D599F"/>
    <w:rPr>
      <w:rFonts w:ascii="Arial" w:eastAsia="Times New Roman" w:hAnsi="Arial" w:cs="Arial"/>
      <w:b/>
      <w:sz w:val="22"/>
      <w:lang w:val="nl-NL" w:eastAsia="nl-NL"/>
    </w:rPr>
  </w:style>
  <w:style w:type="character" w:customStyle="1" w:styleId="Heading1Char">
    <w:name w:val="Heading 1 Char"/>
    <w:basedOn w:val="DefaultParagraphFont"/>
    <w:link w:val="Heading1"/>
    <w:uiPriority w:val="9"/>
    <w:rsid w:val="008D599F"/>
    <w:rPr>
      <w:rFonts w:ascii="Arial" w:eastAsia="Times New Roman" w:hAnsi="Arial"/>
      <w:b/>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KAI Research, Inc.</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 Cerebral Microdialysis Guidelines</dc:title>
  <dc:subject>Guideline Document</dc:subject>
  <dc:creator>NINDS</dc:creator>
  <cp:keywords>NINDS, Guideline Document, Table 4 Cerebral Microdialysis Guidelines</cp:keywords>
  <dc:description/>
  <cp:lastModifiedBy>Andy Franklin</cp:lastModifiedBy>
  <cp:revision>3</cp:revision>
  <dcterms:created xsi:type="dcterms:W3CDTF">2014-05-19T20:29:00Z</dcterms:created>
  <dcterms:modified xsi:type="dcterms:W3CDTF">2014-05-19T20:32:00Z</dcterms:modified>
  <cp:category>Guideline Document</cp:category>
  <cp:contentStatus>508 Compliant</cp:contentStatus>
</cp:coreProperties>
</file>