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7E" w:rsidRPr="003237A3" w:rsidRDefault="00AD53EA" w:rsidP="003237A3">
      <w:pPr>
        <w:pStyle w:val="Heading2"/>
      </w:pPr>
      <w:bookmarkStart w:id="0" w:name="_Toc253435350"/>
      <w:bookmarkStart w:id="1" w:name="_Toc254286860"/>
      <w:bookmarkStart w:id="2" w:name="_Toc254553850"/>
      <w:bookmarkStart w:id="3" w:name="_Toc254554521"/>
      <w:bookmarkStart w:id="4" w:name="_Toc254592137"/>
      <w:bookmarkStart w:id="5" w:name="_Toc268098138"/>
      <w:bookmarkStart w:id="6" w:name="_GoBack"/>
      <w:bookmarkEnd w:id="6"/>
      <w:r w:rsidRPr="003237A3">
        <w:t>Overview of the</w:t>
      </w:r>
      <w:r w:rsidR="00A66A7E" w:rsidRPr="003237A3">
        <w:t xml:space="preserve"> </w:t>
      </w:r>
      <w:r w:rsidRPr="003237A3">
        <w:t xml:space="preserve">Stroke </w:t>
      </w:r>
      <w:r w:rsidR="009E465F" w:rsidRPr="003237A3">
        <w:t>Outcomes and End P</w:t>
      </w:r>
      <w:r w:rsidR="00A66A7E" w:rsidRPr="003237A3">
        <w:t>oints Recommendations</w:t>
      </w:r>
      <w:bookmarkEnd w:id="0"/>
      <w:bookmarkEnd w:id="1"/>
      <w:bookmarkEnd w:id="2"/>
      <w:bookmarkEnd w:id="3"/>
      <w:bookmarkEnd w:id="4"/>
      <w:bookmarkEnd w:id="5"/>
    </w:p>
    <w:p w:rsidR="00BD371A" w:rsidRPr="00BD371A" w:rsidRDefault="00A66A7E" w:rsidP="003237A3">
      <w:pPr>
        <w:spacing w:before="60" w:after="60"/>
        <w:rPr>
          <w:rFonts w:cs="Arial"/>
        </w:rPr>
      </w:pPr>
      <w:r w:rsidRPr="00BD371A">
        <w:rPr>
          <w:rFonts w:cs="Arial"/>
        </w:rPr>
        <w:t>The Outcomes and End</w:t>
      </w:r>
      <w:r w:rsidR="009E465F" w:rsidRPr="00BD371A">
        <w:rPr>
          <w:rFonts w:cs="Arial"/>
        </w:rPr>
        <w:t xml:space="preserve"> P</w:t>
      </w:r>
      <w:r w:rsidRPr="00BD371A">
        <w:rPr>
          <w:rFonts w:cs="Arial"/>
        </w:rPr>
        <w:t>oints Subgroup’s recommendations are categorized into seven domains. The following are the list of domains with the corresponding instrument recommendations. Please note that the Pediatric recommendations are grouped as a separate category.</w:t>
      </w:r>
    </w:p>
    <w:p w:rsidR="00781E80" w:rsidRPr="00781E80" w:rsidRDefault="00A66A7E" w:rsidP="00781E80">
      <w:pPr>
        <w:pStyle w:val="Heading3"/>
        <w:rPr>
          <w:u w:val="none"/>
        </w:rPr>
      </w:pPr>
      <w:r w:rsidRPr="00BD371A">
        <w:t>Neurological Impairment:</w:t>
      </w:r>
    </w:p>
    <w:p w:rsidR="00A66A7E" w:rsidRPr="00BD371A" w:rsidRDefault="00A66A7E" w:rsidP="00781E80">
      <w:pPr>
        <w:spacing w:before="60" w:after="60"/>
        <w:ind w:left="360"/>
        <w:rPr>
          <w:rFonts w:cs="Arial"/>
        </w:rPr>
      </w:pPr>
      <w:r w:rsidRPr="00BD371A">
        <w:rPr>
          <w:rFonts w:cs="Arial"/>
        </w:rPr>
        <w:t>National Institutes of Health Stroke Scale (NIHSS)*</w:t>
      </w:r>
    </w:p>
    <w:p w:rsidR="00781E80" w:rsidRPr="00781E80" w:rsidRDefault="00A66A7E" w:rsidP="00781E80">
      <w:pPr>
        <w:pStyle w:val="Heading3"/>
        <w:rPr>
          <w:u w:val="none"/>
        </w:rPr>
      </w:pPr>
      <w:r w:rsidRPr="00BD371A">
        <w:t>Activities of Daily Living (ADL)/</w:t>
      </w:r>
      <w:r w:rsidR="00AD53EA" w:rsidRPr="00BD371A">
        <w:t xml:space="preserve"> </w:t>
      </w:r>
      <w:r w:rsidRPr="00BD371A">
        <w:t>Functional Status:</w:t>
      </w:r>
    </w:p>
    <w:p w:rsidR="00233B6B" w:rsidRDefault="00A66A7E" w:rsidP="00781E80">
      <w:pPr>
        <w:spacing w:before="60" w:after="60"/>
        <w:ind w:left="360"/>
        <w:rPr>
          <w:rFonts w:cs="Arial"/>
        </w:rPr>
      </w:pPr>
      <w:r w:rsidRPr="00BD371A">
        <w:rPr>
          <w:rFonts w:cs="Arial"/>
        </w:rPr>
        <w:t xml:space="preserve">Barthel Index*; </w:t>
      </w:r>
    </w:p>
    <w:p w:rsidR="00233B6B" w:rsidRDefault="00A66A7E" w:rsidP="00781E80">
      <w:pPr>
        <w:spacing w:before="60" w:after="60"/>
        <w:ind w:left="360"/>
        <w:rPr>
          <w:rFonts w:cs="Arial"/>
        </w:rPr>
      </w:pPr>
      <w:r w:rsidRPr="00BD371A">
        <w:rPr>
          <w:rFonts w:cs="Arial"/>
        </w:rPr>
        <w:t xml:space="preserve">Functional Independence Measure (FIM); </w:t>
      </w:r>
    </w:p>
    <w:p w:rsidR="00233B6B" w:rsidRDefault="00A66A7E" w:rsidP="00781E80">
      <w:pPr>
        <w:spacing w:before="60" w:after="60"/>
        <w:ind w:left="360"/>
        <w:rPr>
          <w:rFonts w:cs="Arial"/>
        </w:rPr>
      </w:pPr>
      <w:r w:rsidRPr="00BD371A">
        <w:rPr>
          <w:rFonts w:cs="Arial"/>
        </w:rPr>
        <w:t>Glasgow Outcomes Scale (GOS) and Glasgow O</w:t>
      </w:r>
      <w:r w:rsidR="00233B6B">
        <w:rPr>
          <w:rFonts w:cs="Arial"/>
        </w:rPr>
        <w:t>utcomes Scale Extended (GOS-E)</w:t>
      </w:r>
    </w:p>
    <w:p w:rsidR="00233B6B" w:rsidRDefault="00233B6B" w:rsidP="00781E80">
      <w:pPr>
        <w:spacing w:before="60" w:after="60"/>
        <w:ind w:left="360"/>
        <w:rPr>
          <w:rFonts w:cs="Arial"/>
        </w:rPr>
      </w:pPr>
      <w:r>
        <w:rPr>
          <w:rFonts w:cs="Arial"/>
        </w:rPr>
        <w:t>Modified Rankin Scale (mRS)*</w:t>
      </w:r>
    </w:p>
    <w:p w:rsidR="00233B6B" w:rsidRDefault="00A66A7E" w:rsidP="00781E80">
      <w:pPr>
        <w:spacing w:before="60" w:after="60"/>
        <w:ind w:left="360"/>
        <w:rPr>
          <w:rFonts w:cs="Arial"/>
        </w:rPr>
      </w:pPr>
      <w:r w:rsidRPr="00BD371A">
        <w:rPr>
          <w:rFonts w:cs="Arial"/>
        </w:rPr>
        <w:t>Quality of Life in Neurological Disorders (Neuro-QOL) - Adult Mobility, Adult Upper Extremities, and Adult</w:t>
      </w:r>
      <w:r w:rsidR="00233B6B">
        <w:rPr>
          <w:rFonts w:cs="Arial"/>
        </w:rPr>
        <w:t xml:space="preserve"> Assistive Devices Item Banks^;</w:t>
      </w:r>
    </w:p>
    <w:p w:rsidR="00233B6B" w:rsidRDefault="00A66A7E" w:rsidP="00781E80">
      <w:pPr>
        <w:spacing w:before="60" w:after="60"/>
        <w:ind w:left="360"/>
        <w:rPr>
          <w:rFonts w:cs="Arial"/>
        </w:rPr>
      </w:pPr>
      <w:r w:rsidRPr="00BD371A">
        <w:rPr>
          <w:rFonts w:cs="Arial"/>
        </w:rPr>
        <w:t>National Insti</w:t>
      </w:r>
      <w:r w:rsidR="00233B6B">
        <w:rPr>
          <w:rFonts w:cs="Arial"/>
        </w:rPr>
        <w:t>tutes of Health (NIH) Toolbox^;</w:t>
      </w:r>
    </w:p>
    <w:p w:rsidR="00233B6B" w:rsidRDefault="00A66A7E" w:rsidP="00781E80">
      <w:pPr>
        <w:spacing w:before="60" w:after="60"/>
        <w:ind w:left="360"/>
        <w:rPr>
          <w:rFonts w:cs="Arial"/>
        </w:rPr>
      </w:pPr>
      <w:r w:rsidRPr="00BD371A">
        <w:rPr>
          <w:rFonts w:cs="Arial"/>
        </w:rPr>
        <w:t>Post Acute Care Admission Continuity Assessment Record and Evaluat</w:t>
      </w:r>
      <w:r w:rsidR="00233B6B">
        <w:rPr>
          <w:rFonts w:cs="Arial"/>
        </w:rPr>
        <w:t>ion (PAC Admission CARE) Tool^;</w:t>
      </w:r>
    </w:p>
    <w:p w:rsidR="00A66A7E" w:rsidRPr="00BD371A" w:rsidRDefault="00A66A7E" w:rsidP="00781E80">
      <w:pPr>
        <w:spacing w:before="60" w:after="60"/>
        <w:ind w:left="360"/>
        <w:rPr>
          <w:rFonts w:cs="Arial"/>
        </w:rPr>
      </w:pPr>
      <w:r w:rsidRPr="00BD371A">
        <w:rPr>
          <w:rFonts w:cs="Arial"/>
        </w:rPr>
        <w:t>PROMIS Physical Function^</w:t>
      </w:r>
    </w:p>
    <w:p w:rsidR="00BD371A" w:rsidRPr="00BD371A" w:rsidRDefault="00A66A7E" w:rsidP="00781E80">
      <w:pPr>
        <w:pStyle w:val="Heading3"/>
      </w:pPr>
      <w:r w:rsidRPr="00BD371A">
        <w:t>Emotional and Cognitive Status:</w:t>
      </w:r>
    </w:p>
    <w:p w:rsidR="00BD371A" w:rsidRPr="00BD371A" w:rsidRDefault="00A66A7E" w:rsidP="003237A3">
      <w:pPr>
        <w:numPr>
          <w:ilvl w:val="2"/>
          <w:numId w:val="2"/>
        </w:numPr>
        <w:spacing w:before="60" w:after="60"/>
        <w:ind w:left="550" w:firstLine="0"/>
        <w:rPr>
          <w:rFonts w:cs="Arial"/>
        </w:rPr>
      </w:pPr>
      <w:r w:rsidRPr="00781E80">
        <w:rPr>
          <w:rFonts w:cs="Arial"/>
        </w:rPr>
        <w:t>Short Battery-</w:t>
      </w:r>
      <w:r w:rsidRPr="00BD371A">
        <w:rPr>
          <w:rFonts w:cs="Arial"/>
        </w:rPr>
        <w:t xml:space="preserve"> Center for Epidemiologic Studies Depression Scale (CES-D)*; Montreal Cognitive Assessment (MoCA)*; Trail Making Test Parts A&amp;B*</w:t>
      </w:r>
    </w:p>
    <w:p w:rsidR="00A66A7E" w:rsidRPr="00BD371A" w:rsidRDefault="00A66A7E" w:rsidP="003237A3">
      <w:pPr>
        <w:numPr>
          <w:ilvl w:val="2"/>
          <w:numId w:val="2"/>
        </w:numPr>
        <w:spacing w:before="60" w:after="60"/>
        <w:ind w:left="550" w:firstLine="0"/>
        <w:rPr>
          <w:rFonts w:cs="Arial"/>
        </w:rPr>
      </w:pPr>
      <w:r w:rsidRPr="00781E80">
        <w:rPr>
          <w:rFonts w:cs="Arial"/>
        </w:rPr>
        <w:t xml:space="preserve">Long Battery- </w:t>
      </w:r>
      <w:r w:rsidRPr="00BD371A">
        <w:rPr>
          <w:rFonts w:cs="Arial"/>
        </w:rPr>
        <w:t>Short Battery plus: Digit Symbol subtest (WAIS-III); Symbol Search subtest (WAIS-III); Stroop Test; Hopkins Verbal Learning Test – Revised (HVLT-R); Rey-Osterrieth Complex Figure Copy and Delay; Controlled Oral Word Association Test (COWAT); Boston Naming Test (BNT) 30-item version and Recognition; Informant Questionnaire for Cognitive Decline in the Elderly (IQCODE); Neuropsychiatric Inventory (NPI)</w:t>
      </w:r>
    </w:p>
    <w:p w:rsidR="00A66A7E" w:rsidRPr="00BD371A" w:rsidRDefault="00A66A7E" w:rsidP="003237A3">
      <w:pPr>
        <w:numPr>
          <w:ilvl w:val="2"/>
          <w:numId w:val="2"/>
        </w:numPr>
        <w:spacing w:before="60" w:after="60"/>
        <w:ind w:left="550" w:firstLine="0"/>
        <w:rPr>
          <w:rFonts w:cs="Arial"/>
        </w:rPr>
      </w:pPr>
      <w:r w:rsidRPr="00DF6C9E">
        <w:rPr>
          <w:rFonts w:cs="Arial"/>
        </w:rPr>
        <w:t xml:space="preserve">Additional Instruments- </w:t>
      </w:r>
      <w:r w:rsidRPr="00BD371A">
        <w:rPr>
          <w:rFonts w:cs="Arial"/>
        </w:rPr>
        <w:t>Telephone Interview for Cognitive Status (TICS)</w:t>
      </w:r>
    </w:p>
    <w:p w:rsidR="00DF6C9E" w:rsidRDefault="00A66A7E" w:rsidP="00DF6C9E">
      <w:pPr>
        <w:pStyle w:val="Heading3"/>
      </w:pPr>
      <w:r w:rsidRPr="00BD371A">
        <w:t xml:space="preserve">Participation/Quality of Life: </w:t>
      </w:r>
    </w:p>
    <w:p w:rsidR="00A66A7E" w:rsidRPr="00BD371A" w:rsidRDefault="00A66A7E" w:rsidP="00233B6B">
      <w:pPr>
        <w:spacing w:before="60" w:after="60"/>
        <w:ind w:left="360"/>
        <w:rPr>
          <w:rFonts w:cs="Arial"/>
        </w:rPr>
      </w:pPr>
      <w:r w:rsidRPr="00BD371A">
        <w:rPr>
          <w:rFonts w:cs="Arial"/>
        </w:rPr>
        <w:t>EuroQOL (EQ-5D)*; Short Form 36 Health Survey (SF-36); Stroke Impact Scale (SIS); Stroke Specific Quality of Life Scale (SS-QOL)</w:t>
      </w:r>
    </w:p>
    <w:p w:rsidR="00DF6C9E" w:rsidRDefault="00A66A7E" w:rsidP="00233B6B">
      <w:pPr>
        <w:pStyle w:val="Heading3"/>
      </w:pPr>
      <w:r w:rsidRPr="00BD371A">
        <w:t xml:space="preserve">Performance Measures: </w:t>
      </w:r>
    </w:p>
    <w:p w:rsidR="00A66A7E" w:rsidRPr="00BD371A" w:rsidRDefault="00A66A7E" w:rsidP="00DF6C9E">
      <w:pPr>
        <w:spacing w:before="60" w:after="60"/>
        <w:ind w:left="360"/>
        <w:rPr>
          <w:rFonts w:cs="Arial"/>
        </w:rPr>
      </w:pPr>
      <w:r w:rsidRPr="00BD371A">
        <w:rPr>
          <w:rFonts w:cs="Arial"/>
        </w:rPr>
        <w:t>Canadian Occupational Performance Measure (COPM);</w:t>
      </w:r>
      <w:r w:rsidRPr="00BD371A">
        <w:rPr>
          <w:rFonts w:cs="Arial"/>
          <w:color w:val="1F497D"/>
        </w:rPr>
        <w:t xml:space="preserve"> </w:t>
      </w:r>
      <w:r w:rsidRPr="00BD371A">
        <w:rPr>
          <w:rFonts w:cs="Arial"/>
        </w:rPr>
        <w:t>Walking Speed*</w:t>
      </w:r>
    </w:p>
    <w:p w:rsidR="00233B6B" w:rsidRPr="00233B6B" w:rsidRDefault="00A66A7E" w:rsidP="00233B6B">
      <w:pPr>
        <w:pStyle w:val="Heading3"/>
        <w:rPr>
          <w:u w:val="none"/>
        </w:rPr>
      </w:pPr>
      <w:r w:rsidRPr="00BD371A">
        <w:t>Clinical Event End</w:t>
      </w:r>
      <w:r w:rsidR="009E465F" w:rsidRPr="00BD371A">
        <w:t xml:space="preserve"> P</w:t>
      </w:r>
      <w:r w:rsidRPr="00BD371A">
        <w:t>oints:</w:t>
      </w:r>
    </w:p>
    <w:p w:rsidR="00A66A7E" w:rsidRPr="00BD371A" w:rsidRDefault="00A66A7E" w:rsidP="00233B6B">
      <w:pPr>
        <w:spacing w:before="60" w:after="60"/>
        <w:ind w:left="360"/>
        <w:rPr>
          <w:rFonts w:cs="Arial"/>
        </w:rPr>
      </w:pPr>
      <w:r w:rsidRPr="00BD371A">
        <w:rPr>
          <w:rFonts w:cs="Arial"/>
        </w:rPr>
        <w:t xml:space="preserve"> </w:t>
      </w:r>
      <w:r w:rsidRPr="00BD371A">
        <w:rPr>
          <w:rFonts w:cs="Arial"/>
          <w:bCs/>
        </w:rPr>
        <w:t xml:space="preserve">Stroke Adjudication </w:t>
      </w:r>
      <w:r w:rsidR="00AD53EA" w:rsidRPr="00BD371A">
        <w:rPr>
          <w:rFonts w:cs="Arial"/>
          <w:bCs/>
        </w:rPr>
        <w:t>Worksheet</w:t>
      </w:r>
      <w:r w:rsidRPr="00BD371A">
        <w:rPr>
          <w:rFonts w:cs="Arial"/>
          <w:bCs/>
        </w:rPr>
        <w:t xml:space="preserve">; Questionnaire for Verifying Stroke-Free Status (QVSFS); </w:t>
      </w:r>
      <w:r w:rsidR="00D75F9A" w:rsidRPr="00BD371A">
        <w:rPr>
          <w:rFonts w:cs="Arial"/>
          <w:bCs/>
        </w:rPr>
        <w:t>Artherosclerosis Risk in Communities (ARIC) TIA/Stroke Form</w:t>
      </w:r>
    </w:p>
    <w:p w:rsidR="00233B6B" w:rsidRDefault="00A66A7E" w:rsidP="00233B6B">
      <w:pPr>
        <w:pStyle w:val="Heading3"/>
      </w:pPr>
      <w:r w:rsidRPr="00BD371A">
        <w:lastRenderedPageBreak/>
        <w:t xml:space="preserve">Pediatric: </w:t>
      </w:r>
    </w:p>
    <w:p w:rsidR="00A66A7E" w:rsidRPr="00BD371A" w:rsidRDefault="00A66A7E" w:rsidP="00233B6B">
      <w:pPr>
        <w:spacing w:before="60" w:after="60"/>
        <w:ind w:left="360"/>
        <w:rPr>
          <w:rFonts w:cs="Arial"/>
        </w:rPr>
      </w:pPr>
      <w:r w:rsidRPr="00BD371A">
        <w:rPr>
          <w:rFonts w:cs="Arial"/>
        </w:rPr>
        <w:t>Bayley Scales of Infant Development (BSID); King’s Outcome Scale for Childhood Head Injury (KOSCHI);</w:t>
      </w:r>
      <w:r w:rsidRPr="00BD371A">
        <w:rPr>
          <w:rFonts w:cs="Arial"/>
          <w:color w:val="1F497D"/>
        </w:rPr>
        <w:t xml:space="preserve"> </w:t>
      </w:r>
      <w:r w:rsidRPr="00BD371A">
        <w:rPr>
          <w:rFonts w:cs="Arial"/>
        </w:rPr>
        <w:t>National Institutes of Health Stroke Scale (NIHSS)^;</w:t>
      </w:r>
      <w:r w:rsidR="00BD371A" w:rsidRPr="00BD371A">
        <w:rPr>
          <w:rFonts w:cs="Arial"/>
        </w:rPr>
        <w:t xml:space="preserve"> </w:t>
      </w:r>
      <w:r w:rsidRPr="00BD371A">
        <w:rPr>
          <w:rFonts w:cs="Arial"/>
        </w:rPr>
        <w:t>Perceived Efficacy and Goal Setting System (PEGS); Pediatric Stroke Outcomes Measure (PSOM)*</w:t>
      </w:r>
    </w:p>
    <w:p w:rsidR="00A66A7E" w:rsidRPr="00BD371A" w:rsidRDefault="00A66A7E" w:rsidP="003237A3">
      <w:pPr>
        <w:spacing w:before="60" w:after="60" w:line="240" w:lineRule="auto"/>
        <w:rPr>
          <w:rFonts w:cs="Arial"/>
          <w:i/>
        </w:rPr>
      </w:pPr>
      <w:r w:rsidRPr="00BD371A">
        <w:rPr>
          <w:rFonts w:cs="Arial"/>
          <w:i/>
        </w:rPr>
        <w:t>*Proposed “Core</w:t>
      </w:r>
      <w:r w:rsidR="00AD53EA" w:rsidRPr="00BD371A">
        <w:rPr>
          <w:rFonts w:cs="Arial"/>
          <w:i/>
        </w:rPr>
        <w:t>/</w:t>
      </w:r>
      <w:r w:rsidRPr="00BD371A">
        <w:rPr>
          <w:rFonts w:cs="Arial"/>
          <w:i/>
        </w:rPr>
        <w:t>Primary” instrument</w:t>
      </w:r>
    </w:p>
    <w:p w:rsidR="00A66A7E" w:rsidRPr="00BD371A" w:rsidRDefault="00A66A7E" w:rsidP="003237A3">
      <w:pPr>
        <w:spacing w:before="60" w:after="60" w:line="240" w:lineRule="auto"/>
        <w:rPr>
          <w:rFonts w:cs="Arial"/>
          <w:i/>
        </w:rPr>
      </w:pPr>
      <w:r w:rsidRPr="00BD371A">
        <w:rPr>
          <w:rFonts w:cs="Arial"/>
          <w:i/>
        </w:rPr>
        <w:t>^ Recommended “E</w:t>
      </w:r>
      <w:r w:rsidR="00D75F9A" w:rsidRPr="00BD371A">
        <w:rPr>
          <w:rFonts w:cs="Arial"/>
          <w:i/>
        </w:rPr>
        <w:t>xploratory</w:t>
      </w:r>
      <w:r w:rsidRPr="00BD371A">
        <w:rPr>
          <w:rFonts w:cs="Arial"/>
          <w:i/>
        </w:rPr>
        <w:t>” instrument – Instrument requires validation but may fill gaps in currently validated instruments and/or substitute for recommended instruments once validation is complete.</w:t>
      </w:r>
    </w:p>
    <w:p w:rsidR="00A66A7E" w:rsidRPr="00BD371A" w:rsidRDefault="00A66A7E" w:rsidP="003237A3">
      <w:pPr>
        <w:spacing w:before="120" w:afterLines="60" w:after="144"/>
        <w:rPr>
          <w:rFonts w:cs="Arial"/>
        </w:rPr>
        <w:sectPr w:rsidR="00A66A7E" w:rsidRPr="00BD371A" w:rsidSect="00BD371A">
          <w:headerReference w:type="default" r:id="rId8"/>
          <w:footerReference w:type="default" r:id="rId9"/>
          <w:headerReference w:type="first" r:id="rId10"/>
          <w:pgSz w:w="12240" w:h="15840" w:code="1"/>
          <w:pgMar w:top="1800" w:right="1440" w:bottom="1080" w:left="1440" w:header="720" w:footer="720" w:gutter="0"/>
          <w:cols w:space="720"/>
          <w:docGrid w:linePitch="360"/>
        </w:sectPr>
      </w:pPr>
      <w:r w:rsidRPr="00BD371A">
        <w:rPr>
          <w:rFonts w:cs="Arial"/>
        </w:rPr>
        <w:t>These recommendations are also presented in the table on the following page.</w:t>
      </w:r>
    </w:p>
    <w:p w:rsidR="005B1B5A" w:rsidRDefault="005B1B5A" w:rsidP="005B5EF7">
      <w:pPr>
        <w:pStyle w:val="Caption"/>
        <w:keepNext/>
        <w:ind w:left="-810"/>
      </w:pPr>
      <w:r>
        <w:lastRenderedPageBreak/>
        <w:t xml:space="preserve">Table Representing </w:t>
      </w:r>
      <w:r w:rsidR="007137C1">
        <w:t>t</w:t>
      </w:r>
      <w:r w:rsidRPr="00242606">
        <w:t>he Outc</w:t>
      </w:r>
      <w:r w:rsidR="005B5EF7">
        <w:t>omes and End Points Subgroup’s R</w:t>
      </w:r>
      <w:r w:rsidRPr="00242606">
        <w:t>ecommendations</w:t>
      </w:r>
    </w:p>
    <w:tbl>
      <w:tblPr>
        <w:tblW w:w="14499" w:type="dxa"/>
        <w:tblInd w:w="-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23"/>
        <w:gridCol w:w="1452"/>
        <w:gridCol w:w="2513"/>
        <w:gridCol w:w="2064"/>
        <w:gridCol w:w="1988"/>
        <w:gridCol w:w="1730"/>
        <w:gridCol w:w="1494"/>
        <w:gridCol w:w="1635"/>
      </w:tblGrid>
      <w:tr w:rsidR="00D302C5" w:rsidRPr="00BD371A" w:rsidTr="00404C62">
        <w:trPr>
          <w:cantSplit/>
          <w:trHeight w:val="584"/>
          <w:tblHeader/>
        </w:trPr>
        <w:tc>
          <w:tcPr>
            <w:tcW w:w="1623" w:type="dxa"/>
            <w:shd w:val="clear" w:color="auto" w:fill="auto"/>
          </w:tcPr>
          <w:p w:rsidR="00A66A7E" w:rsidRPr="00781E80" w:rsidRDefault="00A26928" w:rsidP="00781E80">
            <w:r w:rsidRPr="00781E80">
              <w:t>Intentionally left blank</w:t>
            </w:r>
          </w:p>
        </w:tc>
        <w:tc>
          <w:tcPr>
            <w:tcW w:w="1452" w:type="dxa"/>
            <w:shd w:val="clear" w:color="auto" w:fill="auto"/>
          </w:tcPr>
          <w:p w:rsidR="00A66A7E" w:rsidRPr="00781E80" w:rsidRDefault="00A66A7E" w:rsidP="00781E80">
            <w:r w:rsidRPr="00404C62">
              <w:rPr>
                <w:bCs/>
              </w:rPr>
              <w:t>Neurological Impairment</w:t>
            </w:r>
          </w:p>
        </w:tc>
        <w:tc>
          <w:tcPr>
            <w:tcW w:w="2513" w:type="dxa"/>
            <w:shd w:val="clear" w:color="auto" w:fill="auto"/>
          </w:tcPr>
          <w:p w:rsidR="00A66A7E" w:rsidRPr="00781E80" w:rsidRDefault="00A66A7E" w:rsidP="00781E80">
            <w:r w:rsidRPr="00404C62">
              <w:rPr>
                <w:bCs/>
              </w:rPr>
              <w:t>ADL/ Functional Status</w:t>
            </w:r>
          </w:p>
        </w:tc>
        <w:tc>
          <w:tcPr>
            <w:tcW w:w="2064" w:type="dxa"/>
            <w:shd w:val="clear" w:color="auto" w:fill="auto"/>
          </w:tcPr>
          <w:p w:rsidR="00A66A7E" w:rsidRPr="00781E80" w:rsidRDefault="00A66A7E" w:rsidP="00781E80">
            <w:r w:rsidRPr="00404C62">
              <w:rPr>
                <w:bCs/>
              </w:rPr>
              <w:t>Emotional and Cognitive Status</w:t>
            </w:r>
          </w:p>
        </w:tc>
        <w:tc>
          <w:tcPr>
            <w:tcW w:w="1988" w:type="dxa"/>
            <w:shd w:val="clear" w:color="auto" w:fill="auto"/>
          </w:tcPr>
          <w:p w:rsidR="00A66A7E" w:rsidRPr="00781E80" w:rsidRDefault="00A66A7E" w:rsidP="00781E80">
            <w:r w:rsidRPr="00404C62">
              <w:rPr>
                <w:bCs/>
              </w:rPr>
              <w:t>Participation/ QOL</w:t>
            </w:r>
          </w:p>
        </w:tc>
        <w:tc>
          <w:tcPr>
            <w:tcW w:w="1730" w:type="dxa"/>
            <w:shd w:val="clear" w:color="auto" w:fill="auto"/>
          </w:tcPr>
          <w:p w:rsidR="00A66A7E" w:rsidRPr="00781E80" w:rsidRDefault="00A66A7E" w:rsidP="00781E80">
            <w:r w:rsidRPr="00404C62">
              <w:rPr>
                <w:bCs/>
              </w:rPr>
              <w:t>Performance</w:t>
            </w:r>
          </w:p>
        </w:tc>
        <w:tc>
          <w:tcPr>
            <w:tcW w:w="1494" w:type="dxa"/>
            <w:shd w:val="clear" w:color="auto" w:fill="auto"/>
          </w:tcPr>
          <w:p w:rsidR="00A66A7E" w:rsidRPr="00781E80" w:rsidRDefault="00A66A7E" w:rsidP="00781E80">
            <w:r w:rsidRPr="00404C62">
              <w:rPr>
                <w:bCs/>
              </w:rPr>
              <w:t>Clinical Event End</w:t>
            </w:r>
            <w:r w:rsidR="009E465F" w:rsidRPr="00404C62">
              <w:rPr>
                <w:bCs/>
              </w:rPr>
              <w:t xml:space="preserve"> P</w:t>
            </w:r>
            <w:r w:rsidRPr="00404C62">
              <w:rPr>
                <w:bCs/>
              </w:rPr>
              <w:t>oints</w:t>
            </w:r>
          </w:p>
        </w:tc>
        <w:tc>
          <w:tcPr>
            <w:tcW w:w="1635" w:type="dxa"/>
            <w:shd w:val="clear" w:color="auto" w:fill="auto"/>
          </w:tcPr>
          <w:p w:rsidR="00A66A7E" w:rsidRPr="00781E80" w:rsidRDefault="00A66A7E" w:rsidP="00781E80">
            <w:r w:rsidRPr="00404C62">
              <w:rPr>
                <w:bCs/>
              </w:rPr>
              <w:t>Pediatric</w:t>
            </w:r>
          </w:p>
        </w:tc>
      </w:tr>
      <w:tr w:rsidR="00D302C5" w:rsidRPr="00BD371A" w:rsidTr="00404C62">
        <w:trPr>
          <w:cantSplit/>
          <w:trHeight w:val="584"/>
          <w:tblHeader/>
        </w:trPr>
        <w:tc>
          <w:tcPr>
            <w:tcW w:w="1623" w:type="dxa"/>
            <w:shd w:val="clear" w:color="auto" w:fill="auto"/>
          </w:tcPr>
          <w:p w:rsidR="00A66A7E" w:rsidRPr="00781E80" w:rsidRDefault="00A66A7E" w:rsidP="00781E80">
            <w:r w:rsidRPr="00781E80">
              <w:t>Core/ Primary:</w:t>
            </w:r>
          </w:p>
        </w:tc>
        <w:tc>
          <w:tcPr>
            <w:tcW w:w="1452" w:type="dxa"/>
            <w:shd w:val="clear" w:color="auto" w:fill="auto"/>
          </w:tcPr>
          <w:p w:rsidR="00A66A7E" w:rsidRPr="00A26928" w:rsidRDefault="00A66A7E" w:rsidP="007137C1">
            <w:r w:rsidRPr="00A26928">
              <w:t xml:space="preserve">* NIHSS </w:t>
            </w:r>
          </w:p>
        </w:tc>
        <w:tc>
          <w:tcPr>
            <w:tcW w:w="2513" w:type="dxa"/>
            <w:shd w:val="clear" w:color="auto" w:fill="auto"/>
          </w:tcPr>
          <w:p w:rsidR="00A66A7E" w:rsidRPr="00A26928" w:rsidRDefault="00A66A7E" w:rsidP="00781E80">
            <w:r w:rsidRPr="00A26928">
              <w:t>* Barthel Index</w:t>
            </w:r>
            <w:r w:rsidRPr="00A26928">
              <w:br/>
              <w:t xml:space="preserve">* mRS </w:t>
            </w:r>
          </w:p>
        </w:tc>
        <w:tc>
          <w:tcPr>
            <w:tcW w:w="2064" w:type="dxa"/>
            <w:shd w:val="clear" w:color="auto" w:fill="auto"/>
          </w:tcPr>
          <w:p w:rsidR="00A66A7E" w:rsidRPr="00A26928" w:rsidRDefault="00A66A7E" w:rsidP="00781E80">
            <w:r w:rsidRPr="00A26928">
              <w:t>* CES-D</w:t>
            </w:r>
            <w:r w:rsidRPr="00A26928">
              <w:br/>
              <w:t xml:space="preserve">* MoCA </w:t>
            </w:r>
            <w:r w:rsidRPr="00A26928">
              <w:br/>
              <w:t xml:space="preserve">* Trail Making A&amp;B </w:t>
            </w:r>
          </w:p>
        </w:tc>
        <w:tc>
          <w:tcPr>
            <w:tcW w:w="1988" w:type="dxa"/>
            <w:shd w:val="clear" w:color="auto" w:fill="auto"/>
          </w:tcPr>
          <w:p w:rsidR="00A66A7E" w:rsidRPr="00A26928" w:rsidRDefault="00A66A7E" w:rsidP="00781E80">
            <w:r w:rsidRPr="00A26928">
              <w:t xml:space="preserve">* EuroQOL </w:t>
            </w:r>
          </w:p>
        </w:tc>
        <w:tc>
          <w:tcPr>
            <w:tcW w:w="1730" w:type="dxa"/>
            <w:shd w:val="clear" w:color="auto" w:fill="auto"/>
          </w:tcPr>
          <w:p w:rsidR="00A66A7E" w:rsidRPr="00A26928" w:rsidRDefault="00A66A7E" w:rsidP="00781E80">
            <w:r w:rsidRPr="00A26928">
              <w:t> *Walking Speed</w:t>
            </w:r>
          </w:p>
        </w:tc>
        <w:tc>
          <w:tcPr>
            <w:tcW w:w="1494" w:type="dxa"/>
            <w:shd w:val="clear" w:color="auto" w:fill="auto"/>
          </w:tcPr>
          <w:p w:rsidR="00A66A7E" w:rsidRPr="00A26928" w:rsidRDefault="00A66A7E" w:rsidP="00781E80">
            <w:r w:rsidRPr="00A26928">
              <w:t> </w:t>
            </w:r>
            <w:r w:rsidR="007C4F75">
              <w:t>Intentionally left blank</w:t>
            </w:r>
          </w:p>
        </w:tc>
        <w:tc>
          <w:tcPr>
            <w:tcW w:w="1635" w:type="dxa"/>
            <w:shd w:val="clear" w:color="auto" w:fill="auto"/>
          </w:tcPr>
          <w:p w:rsidR="00A66A7E" w:rsidRPr="00A26928" w:rsidRDefault="00A66A7E" w:rsidP="00781E80">
            <w:r w:rsidRPr="00A26928">
              <w:t xml:space="preserve">* PSOM </w:t>
            </w:r>
          </w:p>
        </w:tc>
      </w:tr>
      <w:tr w:rsidR="00D302C5" w:rsidRPr="00BD371A" w:rsidTr="00404C62">
        <w:trPr>
          <w:cantSplit/>
          <w:trHeight w:val="584"/>
          <w:tblHeader/>
        </w:trPr>
        <w:tc>
          <w:tcPr>
            <w:tcW w:w="1623" w:type="dxa"/>
            <w:shd w:val="clear" w:color="auto" w:fill="auto"/>
          </w:tcPr>
          <w:p w:rsidR="00A66A7E" w:rsidRPr="00781E80" w:rsidRDefault="00AD53EA" w:rsidP="00781E80">
            <w:r w:rsidRPr="00781E80">
              <w:t>Supplemental</w:t>
            </w:r>
            <w:r w:rsidR="00A66A7E" w:rsidRPr="00781E80">
              <w:t>/</w:t>
            </w:r>
          </w:p>
          <w:p w:rsidR="00A66A7E" w:rsidRPr="00781E80" w:rsidRDefault="00A66A7E" w:rsidP="00781E80">
            <w:r w:rsidRPr="00781E80">
              <w:t>Secondary:</w:t>
            </w:r>
          </w:p>
        </w:tc>
        <w:tc>
          <w:tcPr>
            <w:tcW w:w="1452" w:type="dxa"/>
            <w:shd w:val="clear" w:color="auto" w:fill="auto"/>
          </w:tcPr>
          <w:p w:rsidR="00A66A7E" w:rsidRPr="00A26928" w:rsidRDefault="00A66A7E" w:rsidP="00781E80">
            <w:r w:rsidRPr="00A26928">
              <w:t> </w:t>
            </w:r>
            <w:r w:rsidR="00A26928">
              <w:t>Intentionally left blank</w:t>
            </w:r>
          </w:p>
        </w:tc>
        <w:tc>
          <w:tcPr>
            <w:tcW w:w="2513" w:type="dxa"/>
            <w:shd w:val="clear" w:color="auto" w:fill="auto"/>
          </w:tcPr>
          <w:p w:rsidR="00A66A7E" w:rsidRPr="00A26928" w:rsidRDefault="00A66A7E" w:rsidP="00781E80">
            <w:r w:rsidRPr="00A26928">
              <w:t>* FIM</w:t>
            </w:r>
          </w:p>
          <w:p w:rsidR="00A66A7E" w:rsidRPr="00A26928" w:rsidRDefault="00A66A7E" w:rsidP="00781E80">
            <w:r w:rsidRPr="00A26928">
              <w:t xml:space="preserve">* GOS and GOS-E </w:t>
            </w:r>
          </w:p>
        </w:tc>
        <w:tc>
          <w:tcPr>
            <w:tcW w:w="2064" w:type="dxa"/>
            <w:shd w:val="clear" w:color="auto" w:fill="auto"/>
          </w:tcPr>
          <w:p w:rsidR="00A66A7E" w:rsidRPr="00A26928" w:rsidRDefault="00A66A7E" w:rsidP="00781E80">
            <w:r w:rsidRPr="00A26928">
              <w:t>*Digit Symbol</w:t>
            </w:r>
          </w:p>
          <w:p w:rsidR="00A66A7E" w:rsidRPr="00A26928" w:rsidRDefault="00A66A7E" w:rsidP="00404C62">
            <w:pPr>
              <w:spacing w:after="120"/>
            </w:pPr>
            <w:r w:rsidRPr="00A26928">
              <w:t>* Symbol Search</w:t>
            </w:r>
            <w:r w:rsidR="00BD371A" w:rsidRPr="00A26928">
              <w:t xml:space="preserve"> </w:t>
            </w:r>
            <w:r w:rsidRPr="00A26928">
              <w:t>*Stroop Test</w:t>
            </w:r>
            <w:r w:rsidRPr="00A26928">
              <w:br/>
              <w:t>* HVLT-R</w:t>
            </w:r>
            <w:r w:rsidRPr="00A26928">
              <w:br/>
              <w:t>* Rey-Osterrieth Complex Figure</w:t>
            </w:r>
            <w:r w:rsidRPr="00A26928">
              <w:br/>
              <w:t>* COWAT</w:t>
            </w:r>
            <w:r w:rsidRPr="00A26928">
              <w:br/>
              <w:t>* BNT</w:t>
            </w:r>
            <w:r w:rsidRPr="00A26928">
              <w:br/>
              <w:t>* IQCODE</w:t>
            </w:r>
          </w:p>
          <w:p w:rsidR="00A66A7E" w:rsidRPr="00A26928" w:rsidRDefault="00A66A7E" w:rsidP="00404C62">
            <w:pPr>
              <w:spacing w:after="120"/>
            </w:pPr>
            <w:r w:rsidRPr="00A26928">
              <w:t>* NPI</w:t>
            </w:r>
          </w:p>
          <w:p w:rsidR="00A66A7E" w:rsidRPr="00A26928" w:rsidRDefault="00A66A7E" w:rsidP="00781E80">
            <w:r w:rsidRPr="00A26928">
              <w:t>* TICS</w:t>
            </w:r>
          </w:p>
        </w:tc>
        <w:tc>
          <w:tcPr>
            <w:tcW w:w="1988" w:type="dxa"/>
            <w:shd w:val="clear" w:color="auto" w:fill="auto"/>
          </w:tcPr>
          <w:p w:rsidR="00A66A7E" w:rsidRPr="00A26928" w:rsidRDefault="00A66A7E" w:rsidP="00781E80">
            <w:r w:rsidRPr="00A26928">
              <w:t>* SF-36</w:t>
            </w:r>
            <w:r w:rsidRPr="00A26928">
              <w:br/>
              <w:t>* Stroke Impact Scale</w:t>
            </w:r>
          </w:p>
          <w:p w:rsidR="00A66A7E" w:rsidRPr="00A26928" w:rsidRDefault="00A66A7E" w:rsidP="00781E80">
            <w:r w:rsidRPr="00A26928">
              <w:t>* Stroke Specific QOL</w:t>
            </w:r>
          </w:p>
        </w:tc>
        <w:tc>
          <w:tcPr>
            <w:tcW w:w="1730" w:type="dxa"/>
            <w:shd w:val="clear" w:color="auto" w:fill="auto"/>
          </w:tcPr>
          <w:p w:rsidR="00BD371A" w:rsidRPr="00A26928" w:rsidRDefault="00A66A7E" w:rsidP="00781E80">
            <w:r w:rsidRPr="00A26928">
              <w:t>* COPM</w:t>
            </w:r>
          </w:p>
          <w:p w:rsidR="00A66A7E" w:rsidRPr="00A26928" w:rsidRDefault="00A66A7E" w:rsidP="00781E80"/>
        </w:tc>
        <w:tc>
          <w:tcPr>
            <w:tcW w:w="1494" w:type="dxa"/>
            <w:shd w:val="clear" w:color="auto" w:fill="auto"/>
          </w:tcPr>
          <w:p w:rsidR="00A66A7E" w:rsidRPr="00A26928" w:rsidRDefault="00A66A7E" w:rsidP="00781E80">
            <w:r w:rsidRPr="00A26928">
              <w:t>*REGARDS Stroke Adjudication Form</w:t>
            </w:r>
          </w:p>
          <w:p w:rsidR="00A66A7E" w:rsidRPr="00A26928" w:rsidRDefault="00A66A7E" w:rsidP="00781E80">
            <w:r w:rsidRPr="00A26928">
              <w:t>* QVSFS</w:t>
            </w:r>
          </w:p>
          <w:p w:rsidR="00A66A7E" w:rsidRPr="00A26928" w:rsidRDefault="00A66A7E" w:rsidP="00781E80">
            <w:r w:rsidRPr="00A26928">
              <w:t xml:space="preserve">* </w:t>
            </w:r>
            <w:r w:rsidR="00D75F9A" w:rsidRPr="00A26928">
              <w:t>ARIC</w:t>
            </w:r>
            <w:r w:rsidRPr="00A26928">
              <w:t xml:space="preserve"> TIA</w:t>
            </w:r>
            <w:r w:rsidR="00D75F9A" w:rsidRPr="00A26928">
              <w:t>/</w:t>
            </w:r>
            <w:r w:rsidRPr="00A26928">
              <w:t>Stroke</w:t>
            </w:r>
            <w:r w:rsidR="00D75F9A" w:rsidRPr="00A26928">
              <w:t xml:space="preserve"> Form</w:t>
            </w:r>
          </w:p>
        </w:tc>
        <w:tc>
          <w:tcPr>
            <w:tcW w:w="1635" w:type="dxa"/>
            <w:shd w:val="clear" w:color="auto" w:fill="auto"/>
          </w:tcPr>
          <w:p w:rsidR="00A66A7E" w:rsidRPr="00A26928" w:rsidRDefault="00A66A7E" w:rsidP="00781E80">
            <w:r w:rsidRPr="00A26928">
              <w:t>* BSID</w:t>
            </w:r>
          </w:p>
          <w:p w:rsidR="00BD371A" w:rsidRPr="00A26928" w:rsidRDefault="00A66A7E" w:rsidP="00781E80">
            <w:r w:rsidRPr="00A26928">
              <w:t>* KOSCHI</w:t>
            </w:r>
          </w:p>
          <w:p w:rsidR="00A66A7E" w:rsidRPr="00A26928" w:rsidRDefault="00A66A7E" w:rsidP="00781E80">
            <w:r w:rsidRPr="00A26928">
              <w:t xml:space="preserve">* PEGS </w:t>
            </w:r>
          </w:p>
        </w:tc>
      </w:tr>
      <w:tr w:rsidR="00D302C5" w:rsidRPr="00BD371A" w:rsidTr="00404C62">
        <w:trPr>
          <w:cantSplit/>
          <w:trHeight w:val="584"/>
          <w:tblHeader/>
        </w:trPr>
        <w:tc>
          <w:tcPr>
            <w:tcW w:w="1623" w:type="dxa"/>
            <w:shd w:val="clear" w:color="auto" w:fill="auto"/>
          </w:tcPr>
          <w:p w:rsidR="00A66A7E" w:rsidRPr="00781E80" w:rsidRDefault="00A66A7E" w:rsidP="00781E80">
            <w:r w:rsidRPr="00781E80">
              <w:t>E</w:t>
            </w:r>
            <w:r w:rsidR="00D75F9A" w:rsidRPr="00781E80">
              <w:t>xploratory</w:t>
            </w:r>
            <w:r w:rsidRPr="00781E80">
              <w:t>/ Future:</w:t>
            </w:r>
          </w:p>
        </w:tc>
        <w:tc>
          <w:tcPr>
            <w:tcW w:w="1452" w:type="dxa"/>
            <w:shd w:val="clear" w:color="auto" w:fill="auto"/>
          </w:tcPr>
          <w:p w:rsidR="00A66A7E" w:rsidRPr="00A26928" w:rsidRDefault="00A66A7E" w:rsidP="00781E80">
            <w:r w:rsidRPr="00A26928">
              <w:t> </w:t>
            </w:r>
            <w:r w:rsidR="00A26928">
              <w:t>Intentionally left blank</w:t>
            </w:r>
          </w:p>
        </w:tc>
        <w:tc>
          <w:tcPr>
            <w:tcW w:w="2513" w:type="dxa"/>
            <w:shd w:val="clear" w:color="auto" w:fill="auto"/>
          </w:tcPr>
          <w:p w:rsidR="00A66A7E" w:rsidRPr="00A26928" w:rsidRDefault="00A66A7E" w:rsidP="00781E80">
            <w:r w:rsidRPr="00A26928">
              <w:t>* Neuro-QOL (3 item banks)</w:t>
            </w:r>
            <w:r w:rsidRPr="00A26928">
              <w:br/>
              <w:t xml:space="preserve">* NIH Toolbox </w:t>
            </w:r>
            <w:r w:rsidRPr="00A26928">
              <w:br/>
              <w:t>* PAC Admission CARE Tool</w:t>
            </w:r>
            <w:r w:rsidRPr="00A26928">
              <w:br/>
              <w:t xml:space="preserve">* PROMIS (Physical Function) </w:t>
            </w:r>
          </w:p>
        </w:tc>
        <w:tc>
          <w:tcPr>
            <w:tcW w:w="2064" w:type="dxa"/>
            <w:shd w:val="clear" w:color="auto" w:fill="auto"/>
          </w:tcPr>
          <w:p w:rsidR="00A66A7E" w:rsidRPr="00A26928" w:rsidRDefault="00A66A7E" w:rsidP="00781E80">
            <w:r w:rsidRPr="00A26928">
              <w:t> </w:t>
            </w:r>
            <w:r w:rsidR="00A26928">
              <w:t>Intentionally left blank</w:t>
            </w:r>
          </w:p>
        </w:tc>
        <w:tc>
          <w:tcPr>
            <w:tcW w:w="1988" w:type="dxa"/>
            <w:shd w:val="clear" w:color="auto" w:fill="auto"/>
          </w:tcPr>
          <w:p w:rsidR="00A66A7E" w:rsidRPr="00A26928" w:rsidRDefault="00A66A7E" w:rsidP="00781E80">
            <w:r w:rsidRPr="00A26928">
              <w:t> </w:t>
            </w:r>
            <w:r w:rsidR="00A26928">
              <w:t>Intentionally left blank</w:t>
            </w:r>
          </w:p>
        </w:tc>
        <w:tc>
          <w:tcPr>
            <w:tcW w:w="1730" w:type="dxa"/>
            <w:shd w:val="clear" w:color="auto" w:fill="auto"/>
          </w:tcPr>
          <w:p w:rsidR="00A66A7E" w:rsidRPr="00A26928" w:rsidRDefault="00A66A7E" w:rsidP="00781E80">
            <w:r w:rsidRPr="00A26928">
              <w:t> </w:t>
            </w:r>
            <w:r w:rsidR="00A26928">
              <w:t>Intentionally left blank</w:t>
            </w:r>
          </w:p>
        </w:tc>
        <w:tc>
          <w:tcPr>
            <w:tcW w:w="1494" w:type="dxa"/>
            <w:shd w:val="clear" w:color="auto" w:fill="auto"/>
          </w:tcPr>
          <w:p w:rsidR="00A66A7E" w:rsidRPr="00A26928" w:rsidRDefault="00A66A7E" w:rsidP="00781E80">
            <w:r w:rsidRPr="00A26928">
              <w:t> </w:t>
            </w:r>
            <w:r w:rsidR="00A26928">
              <w:t>Intentionally left blank</w:t>
            </w:r>
          </w:p>
        </w:tc>
        <w:tc>
          <w:tcPr>
            <w:tcW w:w="1635" w:type="dxa"/>
            <w:shd w:val="clear" w:color="auto" w:fill="auto"/>
          </w:tcPr>
          <w:p w:rsidR="00A66A7E" w:rsidRPr="00A26928" w:rsidRDefault="00A66A7E" w:rsidP="00781E80">
            <w:r w:rsidRPr="00A26928">
              <w:t xml:space="preserve">* NIHSS </w:t>
            </w:r>
          </w:p>
        </w:tc>
      </w:tr>
    </w:tbl>
    <w:p w:rsidR="007C4F75" w:rsidRDefault="007C4F75" w:rsidP="005B5EF7">
      <w:pPr>
        <w:spacing w:before="120" w:after="60"/>
        <w:rPr>
          <w:rFonts w:cs="Arial"/>
          <w:b/>
          <w:u w:val="single"/>
        </w:rPr>
        <w:sectPr w:rsidR="007C4F75" w:rsidSect="00A66A7E">
          <w:footerReference w:type="defaul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66A7E" w:rsidRPr="007C4F75" w:rsidRDefault="00A66A7E" w:rsidP="007C4F75">
      <w:pPr>
        <w:pStyle w:val="Heading3"/>
      </w:pPr>
      <w:r w:rsidRPr="007C4F75">
        <w:lastRenderedPageBreak/>
        <w:t xml:space="preserve">Timing </w:t>
      </w:r>
      <w:r w:rsidRPr="007C4F75">
        <w:rPr>
          <w:rStyle w:val="Heading3Char"/>
          <w:b/>
          <w:bCs/>
        </w:rPr>
        <w:t>of Outcome Assessments</w:t>
      </w:r>
    </w:p>
    <w:p w:rsidR="003224BC" w:rsidRPr="005B5EF7" w:rsidRDefault="00A66A7E" w:rsidP="005B5EF7">
      <w:pPr>
        <w:autoSpaceDE w:val="0"/>
        <w:autoSpaceDN w:val="0"/>
        <w:adjustRightInd w:val="0"/>
        <w:spacing w:before="120" w:after="60" w:line="240" w:lineRule="auto"/>
        <w:rPr>
          <w:rFonts w:cs="Arial"/>
        </w:rPr>
      </w:pPr>
      <w:r w:rsidRPr="005B5EF7">
        <w:rPr>
          <w:rFonts w:cs="Arial"/>
        </w:rPr>
        <w:t>Acute stroke studies intended to demonstrate durable clinical benefit should assess outcome using a clinically meaningful measure of stroke disability at 90 days.</w:t>
      </w:r>
      <w:r w:rsidR="00BD371A" w:rsidRPr="005B5EF7">
        <w:rPr>
          <w:rFonts w:cs="Arial"/>
        </w:rPr>
        <w:t xml:space="preserve"> </w:t>
      </w:r>
      <w:r w:rsidRPr="005B5EF7">
        <w:rPr>
          <w:rFonts w:cs="Arial"/>
        </w:rPr>
        <w:t>Evaluation of clinical outcomes beyond 90 days is encouraged. Sub-acute or chronic stroke studies should demonstrate durable clinical benefit by evaluation at six month to one year follow-ups.</w:t>
      </w:r>
    </w:p>
    <w:sectPr w:rsidR="003224BC" w:rsidRPr="005B5EF7" w:rsidSect="007C4F7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5A" w:rsidRDefault="005B1B5A" w:rsidP="00A66A7E">
      <w:pPr>
        <w:spacing w:after="0" w:line="240" w:lineRule="auto"/>
      </w:pPr>
      <w:r>
        <w:separator/>
      </w:r>
    </w:p>
  </w:endnote>
  <w:endnote w:type="continuationSeparator" w:id="0">
    <w:p w:rsidR="005B1B5A" w:rsidRDefault="005B1B5A" w:rsidP="00A6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5A" w:rsidRPr="00BD371A" w:rsidRDefault="005B1B5A" w:rsidP="00BD371A">
    <w:pPr>
      <w:tabs>
        <w:tab w:val="right" w:pos="9360"/>
      </w:tabs>
      <w:rPr>
        <w:rFonts w:cs="Arial"/>
      </w:rPr>
    </w:pPr>
    <w:r w:rsidRPr="00BD371A">
      <w:rPr>
        <w:rFonts w:cs="Arial"/>
      </w:rPr>
      <w:t>Stroke Version 2.0</w:t>
    </w:r>
    <w:r w:rsidRPr="00BD371A">
      <w:rPr>
        <w:rFonts w:cs="Arial"/>
      </w:rPr>
      <w:tab/>
      <w:t xml:space="preserve">Page </w:t>
    </w:r>
    <w:r w:rsidRPr="00BD371A">
      <w:rPr>
        <w:rFonts w:cs="Arial"/>
      </w:rPr>
      <w:fldChar w:fldCharType="begin"/>
    </w:r>
    <w:r w:rsidRPr="00BD371A">
      <w:rPr>
        <w:rFonts w:cs="Arial"/>
      </w:rPr>
      <w:instrText xml:space="preserve"> PAGE </w:instrText>
    </w:r>
    <w:r w:rsidRPr="00BD371A">
      <w:rPr>
        <w:rFonts w:cs="Arial"/>
      </w:rPr>
      <w:fldChar w:fldCharType="separate"/>
    </w:r>
    <w:r w:rsidR="00D302C5">
      <w:rPr>
        <w:rFonts w:cs="Arial"/>
        <w:noProof/>
      </w:rPr>
      <w:t>2</w:t>
    </w:r>
    <w:r w:rsidRPr="00BD371A">
      <w:rPr>
        <w:rFonts w:cs="Arial"/>
      </w:rPr>
      <w:fldChar w:fldCharType="end"/>
    </w:r>
    <w:r w:rsidRPr="00BD371A">
      <w:rPr>
        <w:rFonts w:cs="Arial"/>
      </w:rPr>
      <w:t xml:space="preserve"> of </w:t>
    </w:r>
    <w:r w:rsidRPr="00BD371A">
      <w:rPr>
        <w:rFonts w:cs="Arial"/>
      </w:rPr>
      <w:fldChar w:fldCharType="begin"/>
    </w:r>
    <w:r w:rsidRPr="00BD371A">
      <w:rPr>
        <w:rFonts w:cs="Arial"/>
      </w:rPr>
      <w:instrText xml:space="preserve"> NUMPAGES  </w:instrText>
    </w:r>
    <w:r w:rsidRPr="00BD371A">
      <w:rPr>
        <w:rFonts w:cs="Arial"/>
      </w:rPr>
      <w:fldChar w:fldCharType="separate"/>
    </w:r>
    <w:r w:rsidR="00D302C5">
      <w:rPr>
        <w:rFonts w:cs="Arial"/>
        <w:noProof/>
      </w:rPr>
      <w:t>4</w:t>
    </w:r>
    <w:r w:rsidRPr="00BD371A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F7" w:rsidRPr="00BD371A" w:rsidRDefault="005B5EF7" w:rsidP="004D0013">
    <w:pPr>
      <w:tabs>
        <w:tab w:val="right" w:pos="12960"/>
      </w:tabs>
      <w:rPr>
        <w:rFonts w:cs="Arial"/>
      </w:rPr>
    </w:pPr>
    <w:r w:rsidRPr="00BD371A">
      <w:rPr>
        <w:rFonts w:cs="Arial"/>
      </w:rPr>
      <w:t>Stroke Version 2.0</w:t>
    </w:r>
    <w:r w:rsidRPr="00BD371A">
      <w:rPr>
        <w:rFonts w:cs="Arial"/>
      </w:rPr>
      <w:tab/>
      <w:t xml:space="preserve">Page </w:t>
    </w:r>
    <w:r w:rsidRPr="00BD371A">
      <w:rPr>
        <w:rFonts w:cs="Arial"/>
      </w:rPr>
      <w:fldChar w:fldCharType="begin"/>
    </w:r>
    <w:r w:rsidRPr="00BD371A">
      <w:rPr>
        <w:rFonts w:cs="Arial"/>
      </w:rPr>
      <w:instrText xml:space="preserve"> PAGE </w:instrText>
    </w:r>
    <w:r w:rsidRPr="00BD371A">
      <w:rPr>
        <w:rFonts w:cs="Arial"/>
      </w:rPr>
      <w:fldChar w:fldCharType="separate"/>
    </w:r>
    <w:r w:rsidR="00D302C5">
      <w:rPr>
        <w:rFonts w:cs="Arial"/>
        <w:noProof/>
      </w:rPr>
      <w:t>4</w:t>
    </w:r>
    <w:r w:rsidRPr="00BD371A">
      <w:rPr>
        <w:rFonts w:cs="Arial"/>
      </w:rPr>
      <w:fldChar w:fldCharType="end"/>
    </w:r>
    <w:r w:rsidRPr="00BD371A">
      <w:rPr>
        <w:rFonts w:cs="Arial"/>
      </w:rPr>
      <w:t xml:space="preserve"> of </w:t>
    </w:r>
    <w:r w:rsidRPr="00BD371A">
      <w:rPr>
        <w:rFonts w:cs="Arial"/>
      </w:rPr>
      <w:fldChar w:fldCharType="begin"/>
    </w:r>
    <w:r w:rsidRPr="00BD371A">
      <w:rPr>
        <w:rFonts w:cs="Arial"/>
      </w:rPr>
      <w:instrText xml:space="preserve"> NUMPAGES  </w:instrText>
    </w:r>
    <w:r w:rsidRPr="00BD371A">
      <w:rPr>
        <w:rFonts w:cs="Arial"/>
      </w:rPr>
      <w:fldChar w:fldCharType="separate"/>
    </w:r>
    <w:r w:rsidR="00D302C5">
      <w:rPr>
        <w:rFonts w:cs="Arial"/>
        <w:noProof/>
      </w:rPr>
      <w:t>4</w:t>
    </w:r>
    <w:r w:rsidRPr="00BD371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5A" w:rsidRDefault="005B1B5A" w:rsidP="00A66A7E">
      <w:pPr>
        <w:spacing w:after="0" w:line="240" w:lineRule="auto"/>
      </w:pPr>
      <w:r>
        <w:separator/>
      </w:r>
    </w:p>
  </w:footnote>
  <w:footnote w:type="continuationSeparator" w:id="0">
    <w:p w:rsidR="005B1B5A" w:rsidRDefault="005B1B5A" w:rsidP="00A6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5A" w:rsidRPr="00BD371A" w:rsidRDefault="005B1B5A" w:rsidP="00BD371A">
    <w:pPr>
      <w:pStyle w:val="Heading1"/>
    </w:pPr>
    <w:r w:rsidRPr="00BD371A">
      <w:t>National Institute of Neurological Disorders and Stroke (NINDS)</w:t>
    </w:r>
    <w:r w:rsidR="007137C1">
      <w:br/>
    </w:r>
    <w:r w:rsidRPr="00BD371A">
      <w:t>Recommended Measures for Stroke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5A" w:rsidRPr="00815729" w:rsidRDefault="005B1B5A" w:rsidP="00A66A7E">
    <w:pPr>
      <w:spacing w:after="0"/>
      <w:jc w:val="right"/>
      <w:rPr>
        <w:b/>
        <w:sz w:val="28"/>
        <w:szCs w:val="28"/>
      </w:rPr>
    </w:pPr>
    <w:r w:rsidRPr="00815729">
      <w:rPr>
        <w:b/>
        <w:sz w:val="28"/>
        <w:szCs w:val="28"/>
      </w:rPr>
      <w:t xml:space="preserve">NINDS Stroke Common Data Element (CDE) Project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 xml:space="preserve">    </w:t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5B1B5A" w:rsidRPr="00815729" w:rsidRDefault="005B1B5A" w:rsidP="00A66A7E">
    <w:pPr>
      <w:spacing w:after="0"/>
      <w:jc w:val="center"/>
      <w:rPr>
        <w:sz w:val="28"/>
        <w:szCs w:val="28"/>
      </w:rPr>
    </w:pPr>
    <w:r>
      <w:rPr>
        <w:b/>
        <w:sz w:val="28"/>
        <w:szCs w:val="28"/>
      </w:rPr>
      <w:t>Stroke Outcomes and End Points</w:t>
    </w:r>
    <w:r w:rsidRPr="00815729">
      <w:rPr>
        <w:b/>
        <w:sz w:val="28"/>
        <w:szCs w:val="28"/>
      </w:rPr>
      <w:t xml:space="preserve"> Subgroup: Recommendations</w:t>
    </w:r>
  </w:p>
  <w:p w:rsidR="005B1B5A" w:rsidRDefault="005B1B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E0802"/>
    <w:multiLevelType w:val="hybridMultilevel"/>
    <w:tmpl w:val="8ECC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00610"/>
    <w:multiLevelType w:val="multilevel"/>
    <w:tmpl w:val="F306EDFC"/>
    <w:lvl w:ilvl="0">
      <w:start w:val="7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00" w:firstLine="0"/>
      </w:pPr>
      <w:rPr>
        <w:rFonts w:hint="default"/>
        <w:b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A7E"/>
    <w:rsid w:val="00051DD7"/>
    <w:rsid w:val="000538FF"/>
    <w:rsid w:val="00233B6B"/>
    <w:rsid w:val="002A5396"/>
    <w:rsid w:val="003224BC"/>
    <w:rsid w:val="003237A3"/>
    <w:rsid w:val="00404C62"/>
    <w:rsid w:val="004213D0"/>
    <w:rsid w:val="004721CB"/>
    <w:rsid w:val="004D0013"/>
    <w:rsid w:val="00561A66"/>
    <w:rsid w:val="005806F8"/>
    <w:rsid w:val="005B1B5A"/>
    <w:rsid w:val="005B5EF7"/>
    <w:rsid w:val="00606761"/>
    <w:rsid w:val="0061242D"/>
    <w:rsid w:val="007137C1"/>
    <w:rsid w:val="00781E80"/>
    <w:rsid w:val="007B4D5C"/>
    <w:rsid w:val="007C4F75"/>
    <w:rsid w:val="008C5F7E"/>
    <w:rsid w:val="0092349C"/>
    <w:rsid w:val="009C15A7"/>
    <w:rsid w:val="009E102C"/>
    <w:rsid w:val="009E465F"/>
    <w:rsid w:val="00A26928"/>
    <w:rsid w:val="00A62562"/>
    <w:rsid w:val="00A66A7E"/>
    <w:rsid w:val="00AA2EE9"/>
    <w:rsid w:val="00AD53EA"/>
    <w:rsid w:val="00BD371A"/>
    <w:rsid w:val="00C82AB3"/>
    <w:rsid w:val="00CD0104"/>
    <w:rsid w:val="00CD7C0C"/>
    <w:rsid w:val="00D21A84"/>
    <w:rsid w:val="00D302C5"/>
    <w:rsid w:val="00D75F9A"/>
    <w:rsid w:val="00DC32DC"/>
    <w:rsid w:val="00DF6C9E"/>
    <w:rsid w:val="00E97659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C20BB1D-18A1-46AE-AF70-DF7E49A9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80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71A"/>
    <w:pPr>
      <w:spacing w:after="0"/>
      <w:jc w:val="center"/>
      <w:outlineLvl w:val="0"/>
    </w:pPr>
    <w:rPr>
      <w:rFonts w:cs="Arial"/>
      <w:b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3237A3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781E80"/>
    <w:pPr>
      <w:keepNext/>
      <w:keepLines/>
      <w:spacing w:before="200" w:after="0"/>
      <w:outlineLvl w:val="2"/>
    </w:pPr>
    <w:rPr>
      <w:rFonts w:eastAsia="Times New Roman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81E8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781E80"/>
    <w:pPr>
      <w:keepNext/>
      <w:keepLines/>
      <w:spacing w:before="200" w:after="0"/>
      <w:outlineLvl w:val="4"/>
    </w:pPr>
    <w:rPr>
      <w:rFonts w:ascii="Cambria" w:eastAsia="Times New Roman" w:hAnsi="Cambria"/>
    </w:rPr>
  </w:style>
  <w:style w:type="paragraph" w:styleId="Heading6">
    <w:name w:val="heading 6"/>
    <w:basedOn w:val="Normal"/>
    <w:next w:val="Normal"/>
    <w:link w:val="Heading6Char"/>
    <w:uiPriority w:val="9"/>
    <w:qFormat/>
    <w:rsid w:val="00781E80"/>
    <w:pPr>
      <w:keepNext/>
      <w:keepLines/>
      <w:spacing w:before="200" w:after="0"/>
      <w:outlineLvl w:val="5"/>
    </w:pPr>
    <w:rPr>
      <w:rFonts w:ascii="Cambria" w:eastAsia="Times New Roman" w:hAnsi="Cambria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81E80"/>
    <w:pPr>
      <w:keepNext/>
      <w:keepLines/>
      <w:spacing w:before="200"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81E80"/>
    <w:pPr>
      <w:keepNext/>
      <w:keepLines/>
      <w:spacing w:before="200"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81E8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371A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3237A3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link w:val="Heading3"/>
    <w:uiPriority w:val="9"/>
    <w:rsid w:val="00781E80"/>
    <w:rPr>
      <w:rFonts w:ascii="Arial" w:eastAsia="Times New Roman" w:hAnsi="Arial"/>
      <w:b/>
      <w:bCs/>
      <w:sz w:val="22"/>
      <w:szCs w:val="22"/>
      <w:u w:val="single"/>
    </w:rPr>
  </w:style>
  <w:style w:type="character" w:customStyle="1" w:styleId="Heading4Char">
    <w:name w:val="Heading 4 Char"/>
    <w:link w:val="Heading4"/>
    <w:uiPriority w:val="9"/>
    <w:rsid w:val="00781E80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uiPriority w:val="9"/>
    <w:rsid w:val="00781E80"/>
    <w:rPr>
      <w:rFonts w:ascii="Cambria" w:eastAsia="Times New Roman" w:hAnsi="Cambria"/>
      <w:sz w:val="22"/>
      <w:szCs w:val="22"/>
    </w:rPr>
  </w:style>
  <w:style w:type="character" w:customStyle="1" w:styleId="Heading6Char">
    <w:name w:val="Heading 6 Char"/>
    <w:link w:val="Heading6"/>
    <w:uiPriority w:val="9"/>
    <w:rsid w:val="00781E80"/>
    <w:rPr>
      <w:rFonts w:ascii="Cambria" w:eastAsia="Times New Roman" w:hAnsi="Cambria"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781E80"/>
    <w:rPr>
      <w:rFonts w:ascii="Cambria" w:eastAsia="Times New Roman" w:hAnsi="Cambria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781E80"/>
    <w:rPr>
      <w:rFonts w:ascii="Cambria" w:eastAsia="Times New Roman" w:hAnsi="Cambria"/>
    </w:rPr>
  </w:style>
  <w:style w:type="character" w:customStyle="1" w:styleId="Heading9Char">
    <w:name w:val="Heading 9 Char"/>
    <w:link w:val="Heading9"/>
    <w:uiPriority w:val="9"/>
    <w:rsid w:val="00781E80"/>
    <w:rPr>
      <w:rFonts w:ascii="Cambria" w:eastAsia="Times New Roman" w:hAnsi="Cambria"/>
      <w:i/>
      <w:iCs/>
    </w:rPr>
  </w:style>
  <w:style w:type="paragraph" w:styleId="Footer">
    <w:name w:val="footer"/>
    <w:basedOn w:val="Normal"/>
    <w:link w:val="FooterChar"/>
    <w:uiPriority w:val="99"/>
    <w:unhideWhenUsed/>
    <w:rsid w:val="00A6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66A7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66A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6A7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5F9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B1B5A"/>
    <w:pPr>
      <w:spacing w:before="200" w:after="60" w:line="240" w:lineRule="auto"/>
    </w:pPr>
    <w:rPr>
      <w:b/>
      <w:bCs/>
      <w:szCs w:val="18"/>
    </w:rPr>
  </w:style>
  <w:style w:type="table" w:styleId="TableGridLight">
    <w:name w:val="Grid Table Light"/>
    <w:basedOn w:val="TableNormal"/>
    <w:uiPriority w:val="40"/>
    <w:rsid w:val="007137C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1D6C-A5E8-458F-8AC9-DEE97C76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NINDS Recommended Measures for Stroke Overview of the Stroke Outcomes and End Points Recommendations</vt:lpstr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NINDS Recommended Measures for Stroke Overview of the Stroke Outcomes and End Points Recommendations</dc:title>
  <dc:subject>CRF</dc:subject>
  <dc:creator>NINDS</dc:creator>
  <cp:keywords>CRF, NINDS, Stroke, Overview, Outcomes, End Points, Recommendations</cp:keywords>
  <cp:lastModifiedBy>Crystal Love</cp:lastModifiedBy>
  <cp:revision>2</cp:revision>
  <dcterms:created xsi:type="dcterms:W3CDTF">2014-03-31T15:21:00Z</dcterms:created>
  <dcterms:modified xsi:type="dcterms:W3CDTF">2014-03-31T15:21:00Z</dcterms:modified>
  <cp:category>CRF</cp:category>
  <cp:contentStatus>508 Compliant</cp:contentStatus>
</cp:coreProperties>
</file>