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BE" w:rsidRDefault="00FF7C85" w:rsidP="00C50DBE">
      <w:pPr>
        <w:pStyle w:val="Heading2"/>
      </w:pPr>
      <w:bookmarkStart w:id="0" w:name="Check2"/>
      <w:bookmarkStart w:id="1" w:name="_GoBack"/>
      <w:bookmarkEnd w:id="1"/>
      <w:r>
        <w:t xml:space="preserve">Biomarker Testing </w:t>
      </w:r>
    </w:p>
    <w:p w:rsidR="00FF424F" w:rsidRDefault="00FF424F" w:rsidP="00FF424F">
      <w:pPr>
        <w:pStyle w:val="ListParagraph"/>
        <w:numPr>
          <w:ilvl w:val="0"/>
          <w:numId w:val="25"/>
        </w:numPr>
        <w:spacing w:before="120" w:after="60"/>
      </w:pPr>
      <w:r>
        <w:t>Was a biomarker analysis done?</w:t>
      </w:r>
    </w:p>
    <w:p w:rsidR="00FF424F" w:rsidRDefault="00A13D93" w:rsidP="00FF424F">
      <w:pPr>
        <w:pStyle w:val="ListParagraph"/>
        <w:spacing w:before="6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Yes; If yes, please answer questions below: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FF424F">
        <w:t xml:space="preserve"> Yes</w:t>
      </w:r>
    </w:p>
    <w:p w:rsidR="00FF424F" w:rsidRPr="0038396D" w:rsidRDefault="00A13D93" w:rsidP="00FF424F">
      <w:pPr>
        <w:pStyle w:val="ListParagraph"/>
        <w:spacing w:before="6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No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FF424F">
        <w:t xml:space="preserve"> No</w:t>
      </w:r>
    </w:p>
    <w:p w:rsidR="00FF424F" w:rsidRDefault="00FF424F" w:rsidP="00FF424F">
      <w:pPr>
        <w:pStyle w:val="ListParagraph"/>
        <w:spacing w:before="120" w:after="60"/>
      </w:pPr>
      <w:r>
        <w:t>If yes, please answer questions below:</w:t>
      </w:r>
    </w:p>
    <w:p w:rsidR="00C574C6" w:rsidRDefault="00434811" w:rsidP="00F050E6">
      <w:pPr>
        <w:numPr>
          <w:ilvl w:val="0"/>
          <w:numId w:val="25"/>
        </w:numPr>
        <w:spacing w:before="120" w:after="60"/>
      </w:pPr>
      <w:r>
        <w:t>Sample/m</w:t>
      </w:r>
      <w:r w:rsidR="00D0067F">
        <w:t>ethod used</w:t>
      </w:r>
      <w:r w:rsidR="00C574C6" w:rsidRPr="00C574C6">
        <w:t xml:space="preserve"> to assess the biomarker</w:t>
      </w:r>
      <w:r w:rsidR="00C574C6">
        <w:t>:</w:t>
      </w:r>
    </w:p>
    <w:p w:rsidR="00D0067F" w:rsidRDefault="00D0067F" w:rsidP="00D0067F">
      <w:pPr>
        <w:spacing w:before="60" w:after="60"/>
        <w:ind w:left="720"/>
        <w:sectPr w:rsidR="00D0067F" w:rsidSect="00AA79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990" w:left="1440" w:header="720" w:footer="450" w:gutter="0"/>
          <w:cols w:space="720"/>
          <w:docGrid w:linePitch="360"/>
        </w:sectPr>
      </w:pPr>
    </w:p>
    <w:bookmarkEnd w:id="0"/>
    <w:p w:rsidR="00CD358F" w:rsidRPr="0038396D" w:rsidRDefault="00A13D93" w:rsidP="00D0067F">
      <w:pPr>
        <w:spacing w:before="60" w:after="60"/>
        <w:ind w:left="720"/>
      </w:pPr>
      <w: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Blood (serum/plasma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CD358F" w:rsidRPr="0038396D">
        <w:t xml:space="preserve"> </w:t>
      </w:r>
      <w:r w:rsidR="00D0067F">
        <w:t>Blood (serum/plasma)</w:t>
      </w:r>
    </w:p>
    <w:p w:rsidR="00D0067F" w:rsidRDefault="00A13D93" w:rsidP="00D0067F">
      <w:pPr>
        <w:spacing w:before="60"/>
        <w:ind w:left="1080" w:hanging="360"/>
      </w:pPr>
      <w:r>
        <w:fldChar w:fldCharType="begin">
          <w:ffData>
            <w:name w:val=""/>
            <w:enabled/>
            <w:calcOnExit w:val="0"/>
            <w:helpText w:type="text" w:val="No"/>
            <w:statusText w:type="text" w:val="Urin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9D0D47" w:rsidRPr="0038396D">
        <w:t xml:space="preserve"> </w:t>
      </w:r>
      <w:r w:rsidR="00D0067F">
        <w:t>Urine</w:t>
      </w:r>
    </w:p>
    <w:p w:rsidR="00CD358F" w:rsidRDefault="00A13D93" w:rsidP="00D0067F">
      <w:pPr>
        <w:spacing w:before="60"/>
        <w:ind w:left="1080" w:hanging="360"/>
      </w:pPr>
      <w:r>
        <w:fldChar w:fldCharType="begin">
          <w:ffData>
            <w:name w:val=""/>
            <w:enabled/>
            <w:calcOnExit w:val="0"/>
            <w:helpText w:type="text" w:val="Unknown (Documentation not available or not complete, therefore unable to reliably determine if intervention was performed)"/>
            <w:statusText w:type="text" w:val="CSF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CD358F" w:rsidRPr="0038396D">
        <w:t xml:space="preserve"> </w:t>
      </w:r>
      <w:r w:rsidR="00D0067F">
        <w:t>CSF</w:t>
      </w:r>
    </w:p>
    <w:p w:rsidR="00D0067F" w:rsidRPr="0038396D" w:rsidRDefault="00A13D93" w:rsidP="00D0067F">
      <w:pPr>
        <w:spacing w:before="60" w:after="60"/>
        <w:ind w:left="720"/>
      </w:pPr>
      <w:r>
        <w:fldChar w:fldCharType="begin">
          <w:ffData>
            <w:name w:val=""/>
            <w:enabled/>
            <w:calcOnExit w:val="0"/>
            <w:helpText w:type="text" w:val="Yes"/>
            <w:statusText w:type="text" w:val="Fibroblast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0067F" w:rsidRPr="0038396D">
        <w:t xml:space="preserve"> </w:t>
      </w:r>
      <w:r w:rsidR="00D0067F">
        <w:t>Fibroblasts</w:t>
      </w:r>
    </w:p>
    <w:p w:rsidR="00D0067F" w:rsidRDefault="00A13D93" w:rsidP="00D0067F">
      <w:pPr>
        <w:spacing w:before="60"/>
        <w:ind w:left="1080" w:hanging="360"/>
      </w:pPr>
      <w:r>
        <w:fldChar w:fldCharType="begin">
          <w:ffData>
            <w:name w:val=""/>
            <w:enabled/>
            <w:calcOnExit w:val="0"/>
            <w:helpText w:type="text" w:val="No"/>
            <w:statusText w:type="text" w:val="Leukocyte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0067F" w:rsidRPr="0038396D">
        <w:t xml:space="preserve"> </w:t>
      </w:r>
      <w:r w:rsidR="00D0067F">
        <w:t>Leukocytes</w:t>
      </w:r>
    </w:p>
    <w:p w:rsidR="00D0067F" w:rsidRPr="0038396D" w:rsidRDefault="00A13D93" w:rsidP="00D0067F">
      <w:pPr>
        <w:spacing w:before="60"/>
        <w:ind w:left="1080" w:hanging="360"/>
      </w:pPr>
      <w:r>
        <w:fldChar w:fldCharType="begin">
          <w:ffData>
            <w:name w:val=""/>
            <w:enabled/>
            <w:calcOnExit w:val="0"/>
            <w:helpText w:type="text" w:val="Unknown (Documentation not available or not complete, therefore unable to reliably determine if intervention was performed)"/>
            <w:statusText w:type="text" w:val="Neutrophil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0067F" w:rsidRPr="0038396D">
        <w:t xml:space="preserve"> </w:t>
      </w:r>
      <w:r w:rsidR="00DD590E">
        <w:t>Neutrophil</w:t>
      </w:r>
      <w:r w:rsidR="00D0067F">
        <w:t>s</w:t>
      </w:r>
    </w:p>
    <w:p w:rsidR="00D0067F" w:rsidRPr="0038396D" w:rsidRDefault="00A13D93" w:rsidP="00D0067F">
      <w:pPr>
        <w:spacing w:before="60" w:after="60"/>
        <w:ind w:left="720"/>
      </w:pPr>
      <w:r>
        <w:fldChar w:fldCharType="begin">
          <w:ffData>
            <w:name w:val=""/>
            <w:enabled/>
            <w:calcOnExit w:val="0"/>
            <w:helpText w:type="text" w:val="Yes"/>
            <w:statusText w:type="text" w:val="Monocyte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0067F" w:rsidRPr="0038396D">
        <w:t xml:space="preserve"> </w:t>
      </w:r>
      <w:r w:rsidR="00D0067F">
        <w:t>Monocytes</w:t>
      </w:r>
    </w:p>
    <w:p w:rsidR="00D0067F" w:rsidRDefault="00A13D93" w:rsidP="00D0067F">
      <w:pPr>
        <w:spacing w:before="60"/>
        <w:ind w:left="1080" w:hanging="360"/>
      </w:pPr>
      <w:r>
        <w:fldChar w:fldCharType="begin">
          <w:ffData>
            <w:name w:val=""/>
            <w:enabled/>
            <w:calcOnExit w:val="0"/>
            <w:helpText w:type="text" w:val="No"/>
            <w:statusText w:type="text" w:val="Platelets (high OXPHOS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0067F" w:rsidRPr="0038396D">
        <w:t xml:space="preserve"> </w:t>
      </w:r>
      <w:r w:rsidR="00C973D9">
        <w:t>Platelets (high OXPHOS</w:t>
      </w:r>
      <w:r w:rsidR="00D0067F">
        <w:t>)</w:t>
      </w:r>
    </w:p>
    <w:p w:rsidR="00D0067F" w:rsidRDefault="00A13D93" w:rsidP="009C62C4">
      <w:pPr>
        <w:spacing w:before="60" w:after="60"/>
        <w:ind w:left="1080" w:hanging="360"/>
      </w:pPr>
      <w:r>
        <w:fldChar w:fldCharType="begin">
          <w:ffData>
            <w:name w:val=""/>
            <w:enabled/>
            <w:calcOnExit w:val="0"/>
            <w:helpText w:type="text" w:val="Unknown (Documentation not available or not complete, therefore unable to reliably determine if intervention was performed)"/>
            <w:statusText w:type="text" w:val="Lymphocyte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0067F" w:rsidRPr="0038396D">
        <w:t xml:space="preserve"> </w:t>
      </w:r>
      <w:r w:rsidR="00D0067F">
        <w:t>Lymphocytes</w:t>
      </w:r>
    </w:p>
    <w:p w:rsidR="00D0067F" w:rsidRPr="0038396D" w:rsidRDefault="00A13D93" w:rsidP="00D0067F">
      <w:pPr>
        <w:spacing w:before="60" w:after="60"/>
        <w:ind w:left="720"/>
      </w:pPr>
      <w: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Lymphoblasts (EBV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0067F" w:rsidRPr="0038396D">
        <w:t xml:space="preserve"> </w:t>
      </w:r>
      <w:r w:rsidR="00D0067F">
        <w:t>Lymphoblasts (EBV)</w:t>
      </w:r>
    </w:p>
    <w:p w:rsidR="00D0067F" w:rsidRDefault="001D2801" w:rsidP="00D0067F">
      <w:pPr>
        <w:spacing w:before="60"/>
        <w:ind w:left="1080" w:hanging="360"/>
      </w:pPr>
      <w:r>
        <w:fldChar w:fldCharType="begin">
          <w:ffData>
            <w:name w:val=""/>
            <w:enabled/>
            <w:calcOnExit w:val="0"/>
            <w:helpText w:type="text" w:val="No"/>
            <w:statusText w:type="text" w:val="Muscle biochemistr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0067F" w:rsidRPr="0038396D">
        <w:t xml:space="preserve"> </w:t>
      </w:r>
      <w:r w:rsidR="00D0067F">
        <w:t xml:space="preserve">Muscle </w:t>
      </w:r>
      <w:r w:rsidR="00561917">
        <w:t>b</w:t>
      </w:r>
      <w:r w:rsidR="00D0067F">
        <w:t>iochemistry</w:t>
      </w:r>
    </w:p>
    <w:p w:rsidR="00D0067F" w:rsidRPr="0038396D" w:rsidRDefault="001D2801" w:rsidP="00D0067F">
      <w:pPr>
        <w:spacing w:before="60"/>
        <w:ind w:left="1080" w:hanging="360"/>
      </w:pPr>
      <w:r>
        <w:fldChar w:fldCharType="begin">
          <w:ffData>
            <w:name w:val=""/>
            <w:enabled/>
            <w:calcOnExit w:val="0"/>
            <w:helpText w:type="text" w:val="Unknown (Documentation not available or not complete, therefore unable to reliably determine if intervention was performed)"/>
            <w:statusText w:type="text" w:val="Muscle histolog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0067F" w:rsidRPr="0038396D">
        <w:t xml:space="preserve"> </w:t>
      </w:r>
      <w:r w:rsidR="00D0067F">
        <w:t>Muscle histology</w:t>
      </w:r>
    </w:p>
    <w:p w:rsidR="00C22557" w:rsidRDefault="001D2801">
      <w:pPr>
        <w:spacing w:before="60" w:after="60"/>
        <w:ind w:left="720"/>
      </w:pPr>
      <w:r>
        <w:fldChar w:fldCharType="begin">
          <w:ffData>
            <w:name w:val=""/>
            <w:enabled/>
            <w:calcOnExit w:val="0"/>
            <w:helpText w:type="text" w:val="Yes"/>
            <w:statusText w:type="text" w:val="Myotube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0067F" w:rsidRPr="0038396D">
        <w:t xml:space="preserve"> </w:t>
      </w:r>
      <w:r w:rsidR="00D0067F">
        <w:t>Myotubes</w:t>
      </w:r>
    </w:p>
    <w:p w:rsidR="00561917" w:rsidRPr="0038396D" w:rsidRDefault="001D2801" w:rsidP="00561917">
      <w:pPr>
        <w:spacing w:before="60"/>
        <w:ind w:left="1080" w:hanging="360"/>
      </w:pPr>
      <w:r>
        <w:fldChar w:fldCharType="begin">
          <w:ffData>
            <w:name w:val=""/>
            <w:enabled/>
            <w:calcOnExit w:val="0"/>
            <w:helpText w:type="text" w:val="Unknown (Documentation not available or not complete, therefore unable to reliably determine if intervention was performed)"/>
            <w:statusText w:type="text" w:val="Liver histolog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561917" w:rsidRPr="0038396D">
        <w:t xml:space="preserve"> </w:t>
      </w:r>
      <w:r w:rsidR="00561917">
        <w:t>Liver histology</w:t>
      </w:r>
    </w:p>
    <w:p w:rsidR="00D0067F" w:rsidRPr="0038396D" w:rsidRDefault="001D2801" w:rsidP="00D0067F">
      <w:pPr>
        <w:spacing w:before="60" w:after="60"/>
        <w:ind w:left="720"/>
      </w:pPr>
      <w:r>
        <w:fldChar w:fldCharType="begin">
          <w:ffData>
            <w:name w:val=""/>
            <w:enabled/>
            <w:calcOnExit w:val="0"/>
            <w:helpText w:type="text" w:val="Unknown (Documentation not available or not complete, therefore unable to reliably determine if intervention was performed)"/>
            <w:statusText w:type="text" w:val="Liver biochemistr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561917" w:rsidRPr="0038396D">
        <w:t xml:space="preserve"> </w:t>
      </w:r>
      <w:r w:rsidR="00561917">
        <w:t>Liver biochemistry</w:t>
      </w:r>
    </w:p>
    <w:p w:rsidR="00D0067F" w:rsidRPr="0038396D" w:rsidRDefault="001D2801" w:rsidP="00D0067F">
      <w:pPr>
        <w:spacing w:before="60"/>
        <w:ind w:left="1080" w:hanging="360"/>
      </w:pPr>
      <w:r>
        <w:fldChar w:fldCharType="begin">
          <w:ffData>
            <w:name w:val=""/>
            <w:enabled/>
            <w:calcOnExit w:val="0"/>
            <w:helpText w:type="text" w:val="No"/>
            <w:statusText w:type="text" w:val="Genetic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0067F" w:rsidRPr="0038396D">
        <w:t xml:space="preserve"> </w:t>
      </w:r>
      <w:r w:rsidR="00D0067F">
        <w:t>Genetic</w:t>
      </w:r>
    </w:p>
    <w:p w:rsidR="00D0067F" w:rsidRDefault="00D0067F" w:rsidP="00D0067F">
      <w:pPr>
        <w:spacing w:before="60"/>
        <w:ind w:left="1080" w:hanging="360"/>
        <w:sectPr w:rsidR="00D0067F" w:rsidSect="00D0067F">
          <w:type w:val="continuous"/>
          <w:pgSz w:w="12240" w:h="15840"/>
          <w:pgMar w:top="1440" w:right="1440" w:bottom="990" w:left="1440" w:header="720" w:footer="450" w:gutter="0"/>
          <w:cols w:num="2" w:space="720"/>
          <w:docGrid w:linePitch="360"/>
        </w:sectPr>
      </w:pPr>
    </w:p>
    <w:p w:rsidR="00D0067F" w:rsidRPr="0015300C" w:rsidRDefault="00D0067F" w:rsidP="00F050E6">
      <w:pPr>
        <w:numPr>
          <w:ilvl w:val="0"/>
          <w:numId w:val="25"/>
        </w:numPr>
        <w:spacing w:before="120" w:after="60"/>
      </w:pPr>
      <w:r w:rsidRPr="00D0067F">
        <w:lastRenderedPageBreak/>
        <w:t>Which biomarker</w:t>
      </w:r>
      <w:r w:rsidR="00F20CAD">
        <w:t>(s) were</w:t>
      </w:r>
      <w:r w:rsidRPr="00D0067F">
        <w:t xml:space="preserve"> as</w:t>
      </w:r>
      <w:r w:rsidRPr="0015300C">
        <w:t>sessed from the specimen's blood (serum/plasma) sample?</w:t>
      </w:r>
    </w:p>
    <w:p w:rsidR="00812B7D" w:rsidRPr="0015300C" w:rsidRDefault="00812B7D" w:rsidP="00D0067F">
      <w:pPr>
        <w:spacing w:before="60"/>
        <w:ind w:left="720"/>
        <w:sectPr w:rsidR="00812B7D" w:rsidRPr="0015300C" w:rsidSect="00D0067F">
          <w:type w:val="continuous"/>
          <w:pgSz w:w="12240" w:h="15840"/>
          <w:pgMar w:top="1440" w:right="1440" w:bottom="990" w:left="1440" w:header="720" w:footer="450" w:gutter="0"/>
          <w:cols w:space="720"/>
          <w:docGrid w:linePitch="360"/>
        </w:sectPr>
      </w:pPr>
    </w:p>
    <w:p w:rsidR="00252608" w:rsidRPr="0015300C" w:rsidRDefault="001D2801" w:rsidP="00D0067F">
      <w:pPr>
        <w:spacing w:before="60"/>
        <w:ind w:left="720"/>
        <w:rPr>
          <w:lang w:val="fr-FR"/>
        </w:rPr>
      </w:pPr>
      <w:r>
        <w:lastRenderedPageBreak/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 Lactat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197D09" w:rsidRPr="0015300C">
        <w:rPr>
          <w:lang w:val="fr-FR"/>
        </w:rPr>
        <w:t xml:space="preserve"> Lactate</w:t>
      </w:r>
    </w:p>
    <w:p w:rsidR="00252608" w:rsidRPr="0015300C" w:rsidRDefault="001D2801" w:rsidP="00D0067F">
      <w:pPr>
        <w:spacing w:before="60"/>
        <w:ind w:left="720"/>
        <w:rPr>
          <w:lang w:val="fr-FR"/>
        </w:rPr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 Pyruvat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197D09" w:rsidRPr="0015300C">
        <w:rPr>
          <w:lang w:val="fr-FR"/>
        </w:rPr>
        <w:t xml:space="preserve"> Pyruvate</w:t>
      </w:r>
    </w:p>
    <w:p w:rsidR="00D0067F" w:rsidRPr="0015300C" w:rsidRDefault="001D2801" w:rsidP="00D0067F">
      <w:pPr>
        <w:spacing w:before="60"/>
        <w:ind w:left="720"/>
        <w:rPr>
          <w:lang w:val="fr-FR"/>
        </w:rPr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Lactate/pyruvate ratio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197D09" w:rsidRPr="0015300C">
        <w:rPr>
          <w:lang w:val="fr-FR"/>
        </w:rPr>
        <w:t xml:space="preserve"> Lactate/pyruvate ratio</w:t>
      </w:r>
    </w:p>
    <w:p w:rsidR="00D0067F" w:rsidRPr="0015300C" w:rsidRDefault="001D2801" w:rsidP="00D0067F">
      <w:pPr>
        <w:spacing w:before="60"/>
        <w:ind w:left="720"/>
        <w:rPr>
          <w:lang w:val="fr-FR"/>
        </w:rPr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Leukocyte coenzyme Q1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197D09" w:rsidRPr="0015300C">
        <w:rPr>
          <w:lang w:val="fr-FR"/>
        </w:rPr>
        <w:t xml:space="preserve"> Leukocyte coenzyme Q10</w:t>
      </w:r>
    </w:p>
    <w:p w:rsidR="00D0067F" w:rsidRPr="0015300C" w:rsidRDefault="001D2801" w:rsidP="00D0067F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Amino acids (emphasis on alanine, alanine/ lysine ratio, alanine//phenylalanine + lysine ratio, citrulline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0067F" w:rsidRPr="0015300C">
        <w:t xml:space="preserve"> </w:t>
      </w:r>
      <w:r w:rsidR="00812B7D" w:rsidRPr="0015300C">
        <w:t xml:space="preserve">Amino acids (emphasis on alanine, alanine/ lysine ratio, </w:t>
      </w:r>
      <w:r w:rsidR="00C973D9" w:rsidRPr="0015300C">
        <w:t>alanine</w:t>
      </w:r>
      <w:r w:rsidR="00812B7D" w:rsidRPr="0015300C">
        <w:t>//phenylalanine + lysine ratio, cit</w:t>
      </w:r>
      <w:r w:rsidR="00C973D9" w:rsidRPr="0015300C">
        <w:t>r</w:t>
      </w:r>
      <w:r w:rsidR="00812B7D" w:rsidRPr="0015300C">
        <w:t>ulline)</w:t>
      </w:r>
    </w:p>
    <w:p w:rsidR="00D0067F" w:rsidRPr="0015300C" w:rsidRDefault="001D2801" w:rsidP="00D0067F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Carnitine level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12B7D" w:rsidRPr="0015300C">
        <w:t xml:space="preserve"> Carnitine levels</w:t>
      </w:r>
    </w:p>
    <w:p w:rsidR="00D0067F" w:rsidRPr="0015300C" w:rsidRDefault="004702EE" w:rsidP="00D0067F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Acylcarnitine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12B7D" w:rsidRPr="0015300C">
        <w:t xml:space="preserve"> Acylcarnitines</w:t>
      </w:r>
    </w:p>
    <w:p w:rsidR="00D0067F" w:rsidRPr="0015300C" w:rsidRDefault="004702EE" w:rsidP="00D0067F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CPK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0067F" w:rsidRPr="0015300C">
        <w:t xml:space="preserve"> </w:t>
      </w:r>
      <w:r w:rsidR="00812B7D" w:rsidRPr="0015300C">
        <w:t>CPK</w:t>
      </w:r>
    </w:p>
    <w:p w:rsidR="00D0067F" w:rsidRPr="0015300C" w:rsidRDefault="006D7F6C" w:rsidP="00D0067F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Creatin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12B7D" w:rsidRPr="0015300C">
        <w:t xml:space="preserve"> Creatine</w:t>
      </w:r>
    </w:p>
    <w:p w:rsidR="00D0067F" w:rsidRPr="0015300C" w:rsidRDefault="006D7F6C" w:rsidP="00D0067F">
      <w:pPr>
        <w:spacing w:before="60"/>
        <w:ind w:left="720"/>
      </w:pPr>
      <w:r>
        <w:lastRenderedPageBreak/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Free glutathione (fGSH), oxidized disulfide (GSSG), fGSH/GSSG ratio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12B7D" w:rsidRPr="0015300C">
        <w:t xml:space="preserve"> Free glutathione (fGSH)</w:t>
      </w:r>
      <w:r w:rsidR="00E21B81" w:rsidRPr="0015300C">
        <w:t>, o</w:t>
      </w:r>
      <w:r w:rsidR="00812B7D" w:rsidRPr="0015300C">
        <w:t>xidized disulfide (GSSG), fGSH/GSSG ratio</w:t>
      </w:r>
    </w:p>
    <w:p w:rsidR="00D0067F" w:rsidRPr="0015300C" w:rsidRDefault="006D7F6C" w:rsidP="00D0067F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Plasma carbonyl conten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12B7D" w:rsidRPr="0015300C">
        <w:t xml:space="preserve"> Plasma carbonyl content</w:t>
      </w:r>
    </w:p>
    <w:p w:rsidR="00812B7D" w:rsidRPr="0015300C" w:rsidRDefault="006D7F6C" w:rsidP="00812B7D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Fibroblast growth factor 21 (FGF21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12B7D" w:rsidRPr="0015300C">
        <w:t xml:space="preserve"> Fibroblast growth factor 21 (</w:t>
      </w:r>
      <w:r w:rsidR="00890BD2" w:rsidRPr="0015300C">
        <w:t>FGF21</w:t>
      </w:r>
      <w:r w:rsidR="00812B7D" w:rsidRPr="0015300C">
        <w:t>)</w:t>
      </w:r>
    </w:p>
    <w:p w:rsidR="00E21B81" w:rsidRPr="0015300C" w:rsidRDefault="006D7F6C" w:rsidP="00812B7D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Metabolic profiling 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12B7D" w:rsidRPr="0015300C">
        <w:t xml:space="preserve"> </w:t>
      </w:r>
      <w:r w:rsidR="00E21B81" w:rsidRPr="0015300C">
        <w:t>Metabolic profiling</w:t>
      </w:r>
      <w:r w:rsidR="00812B7D" w:rsidRPr="0015300C">
        <w:t xml:space="preserve"> </w:t>
      </w:r>
    </w:p>
    <w:p w:rsidR="00812B7D" w:rsidRPr="0015300C" w:rsidRDefault="006D7F6C" w:rsidP="00812B7D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Hepatic enzymes (AST, ALT, GGT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E21B81" w:rsidRPr="0015300C">
        <w:t xml:space="preserve"> </w:t>
      </w:r>
      <w:r w:rsidR="00812B7D" w:rsidRPr="0015300C">
        <w:t>Hepatic enzymes (AST, ALT, GGT)</w:t>
      </w:r>
    </w:p>
    <w:p w:rsidR="00812B7D" w:rsidRPr="0015300C" w:rsidRDefault="006D7F6C" w:rsidP="00812B7D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Ammonia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12B7D" w:rsidRPr="0015300C">
        <w:t xml:space="preserve"> Ammonia</w:t>
      </w:r>
    </w:p>
    <w:p w:rsidR="00812B7D" w:rsidRPr="0015300C" w:rsidRDefault="006D7F6C" w:rsidP="00812B7D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Thymidin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12B7D" w:rsidRPr="0015300C">
        <w:t xml:space="preserve"> Thymidine</w:t>
      </w:r>
    </w:p>
    <w:p w:rsidR="00812B7D" w:rsidRPr="0015300C" w:rsidRDefault="006D7F6C" w:rsidP="00812B7D">
      <w:pPr>
        <w:spacing w:before="60"/>
        <w:ind w:left="720"/>
        <w:sectPr w:rsidR="00812B7D" w:rsidRPr="0015300C" w:rsidSect="00396B26">
          <w:type w:val="continuous"/>
          <w:pgSz w:w="12240" w:h="15840"/>
          <w:pgMar w:top="1440" w:right="1440" w:bottom="990" w:left="1440" w:header="720" w:footer="450" w:gutter="0"/>
          <w:cols w:num="2" w:space="720"/>
          <w:docGrid w:linePitch="360"/>
        </w:sectPr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Deoxyuridin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12B7D" w:rsidRPr="0015300C">
        <w:t xml:space="preserve"> Deoxyuridine</w:t>
      </w:r>
    </w:p>
    <w:p w:rsidR="00396B26" w:rsidRPr="0015300C" w:rsidRDefault="00396B26" w:rsidP="00812B7D">
      <w:pPr>
        <w:spacing w:before="60"/>
        <w:ind w:left="720"/>
        <w:sectPr w:rsidR="00396B26" w:rsidRPr="0015300C" w:rsidSect="00D0067F">
          <w:type w:val="continuous"/>
          <w:pgSz w:w="12240" w:h="15840"/>
          <w:pgMar w:top="1440" w:right="1440" w:bottom="990" w:left="1440" w:header="720" w:footer="450" w:gutter="0"/>
          <w:cols w:space="720"/>
          <w:docGrid w:linePitch="360"/>
        </w:sectPr>
      </w:pPr>
    </w:p>
    <w:p w:rsidR="0063786A" w:rsidRPr="0015300C" w:rsidRDefault="0063786A" w:rsidP="0015300C">
      <w:pPr>
        <w:spacing w:before="60"/>
        <w:ind w:firstLine="720"/>
      </w:pPr>
      <w:r w:rsidRPr="0015300C">
        <w:lastRenderedPageBreak/>
        <w:t>Lactate accumulation level:</w:t>
      </w:r>
    </w:p>
    <w:p w:rsidR="0063786A" w:rsidRPr="0015300C" w:rsidRDefault="006D7F6C" w:rsidP="00F050E6">
      <w:pPr>
        <w:spacing w:before="60"/>
        <w:ind w:left="1296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Increase in lactat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 w:rsidRPr="0015300C">
        <w:t xml:space="preserve"> Increase in lactate</w:t>
      </w:r>
    </w:p>
    <w:p w:rsidR="0063786A" w:rsidRPr="0015300C" w:rsidRDefault="006D7F6C" w:rsidP="00F050E6">
      <w:pPr>
        <w:spacing w:before="60"/>
        <w:ind w:left="1296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Normal lactat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 w:rsidRPr="0015300C">
        <w:t xml:space="preserve"> Normal lactate</w:t>
      </w:r>
    </w:p>
    <w:p w:rsidR="0063786A" w:rsidRPr="0015300C" w:rsidRDefault="006D7F6C" w:rsidP="00F050E6">
      <w:pPr>
        <w:spacing w:before="60"/>
        <w:ind w:left="1296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Decrease in lactat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 w:rsidRPr="0015300C">
        <w:t xml:space="preserve"> Decrease in lactate</w:t>
      </w:r>
    </w:p>
    <w:p w:rsidR="0063786A" w:rsidRPr="0015300C" w:rsidRDefault="0063786A" w:rsidP="00F050E6">
      <w:pPr>
        <w:spacing w:before="60"/>
        <w:ind w:left="720"/>
      </w:pPr>
    </w:p>
    <w:p w:rsidR="0063786A" w:rsidRPr="0015300C" w:rsidRDefault="0063786A" w:rsidP="00F050E6">
      <w:pPr>
        <w:numPr>
          <w:ilvl w:val="0"/>
          <w:numId w:val="26"/>
        </w:numPr>
        <w:spacing w:before="60"/>
      </w:pPr>
      <w:r w:rsidRPr="0015300C">
        <w:t>Pyruvate accumulation level:</w:t>
      </w:r>
    </w:p>
    <w:p w:rsidR="0063786A" w:rsidRPr="0015300C" w:rsidRDefault="006D7F6C" w:rsidP="00F050E6">
      <w:pPr>
        <w:spacing w:before="60"/>
        <w:ind w:left="1296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Increase in pyruvat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 w:rsidRPr="0015300C">
        <w:t xml:space="preserve"> Increase in pyruvate</w:t>
      </w:r>
    </w:p>
    <w:p w:rsidR="0063786A" w:rsidRPr="0015300C" w:rsidRDefault="006D7F6C" w:rsidP="00F050E6">
      <w:pPr>
        <w:spacing w:before="60"/>
        <w:ind w:left="1296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Normal pyruvat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 w:rsidRPr="0015300C">
        <w:t xml:space="preserve"> Normal pyruvate</w:t>
      </w:r>
    </w:p>
    <w:p w:rsidR="0063786A" w:rsidRPr="0015300C" w:rsidRDefault="006D7F6C" w:rsidP="00F050E6">
      <w:pPr>
        <w:spacing w:before="60"/>
        <w:ind w:left="1296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Decrease in pyruvat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 w:rsidRPr="0015300C">
        <w:t xml:space="preserve"> Decrease in pyruvate</w:t>
      </w:r>
    </w:p>
    <w:p w:rsidR="0063786A" w:rsidRPr="0015300C" w:rsidRDefault="0063786A" w:rsidP="00F050E6">
      <w:pPr>
        <w:spacing w:before="60"/>
        <w:ind w:left="720"/>
      </w:pPr>
    </w:p>
    <w:p w:rsidR="0063786A" w:rsidRPr="0015300C" w:rsidRDefault="00F050E6" w:rsidP="00F050E6">
      <w:pPr>
        <w:numPr>
          <w:ilvl w:val="0"/>
          <w:numId w:val="26"/>
        </w:numPr>
        <w:spacing w:before="60"/>
      </w:pPr>
      <w:r w:rsidRPr="0015300C">
        <w:t>Lactate/p</w:t>
      </w:r>
      <w:r w:rsidR="0063786A" w:rsidRPr="0015300C">
        <w:t xml:space="preserve">yruvate </w:t>
      </w:r>
      <w:r w:rsidRPr="0015300C">
        <w:t>ratio</w:t>
      </w:r>
      <w:r w:rsidR="0063786A" w:rsidRPr="0015300C">
        <w:t xml:space="preserve"> level:</w:t>
      </w:r>
    </w:p>
    <w:p w:rsidR="0063786A" w:rsidRPr="0015300C" w:rsidRDefault="00897E74" w:rsidP="00F050E6">
      <w:pPr>
        <w:spacing w:before="60"/>
        <w:ind w:left="1296"/>
      </w:pPr>
      <w:r>
        <w:lastRenderedPageBreak/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Increase in L: P ratio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 w:rsidRPr="0015300C">
        <w:t xml:space="preserve"> Increase in </w:t>
      </w:r>
      <w:r w:rsidR="00F050E6" w:rsidRPr="0015300C">
        <w:t>L</w:t>
      </w:r>
      <w:r w:rsidR="00D36CCA" w:rsidRPr="0015300C">
        <w:t>: P</w:t>
      </w:r>
      <w:r w:rsidR="00F050E6" w:rsidRPr="0015300C">
        <w:t xml:space="preserve"> ratio</w:t>
      </w:r>
    </w:p>
    <w:p w:rsidR="0063786A" w:rsidRPr="0015300C" w:rsidRDefault="00897E74" w:rsidP="00F050E6">
      <w:pPr>
        <w:spacing w:before="60"/>
        <w:ind w:left="1296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Normal L: P ratio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 w:rsidRPr="0015300C">
        <w:t xml:space="preserve"> Normal </w:t>
      </w:r>
      <w:r w:rsidR="00F050E6" w:rsidRPr="0015300C">
        <w:t>L</w:t>
      </w:r>
      <w:r w:rsidR="00D36CCA" w:rsidRPr="0015300C">
        <w:t>: P</w:t>
      </w:r>
      <w:r w:rsidR="00F050E6" w:rsidRPr="0015300C">
        <w:t xml:space="preserve"> ratio</w:t>
      </w:r>
    </w:p>
    <w:p w:rsidR="00F050E6" w:rsidRPr="0015300C" w:rsidRDefault="00897E74" w:rsidP="00F050E6">
      <w:pPr>
        <w:tabs>
          <w:tab w:val="left" w:pos="3552"/>
        </w:tabs>
        <w:spacing w:before="60"/>
        <w:ind w:left="1296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Decrease in L: P ratio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 w:rsidRPr="0015300C">
        <w:t xml:space="preserve"> Decrease in </w:t>
      </w:r>
      <w:r w:rsidR="00F050E6" w:rsidRPr="0015300C">
        <w:t>L</w:t>
      </w:r>
      <w:r w:rsidR="00D36CCA" w:rsidRPr="0015300C">
        <w:t>: P</w:t>
      </w:r>
      <w:r w:rsidR="009C62C4">
        <w:t xml:space="preserve"> ratio</w:t>
      </w:r>
    </w:p>
    <w:p w:rsidR="00F050E6" w:rsidRDefault="00F050E6" w:rsidP="00F050E6">
      <w:pPr>
        <w:spacing w:before="60"/>
        <w:ind w:left="720"/>
      </w:pPr>
    </w:p>
    <w:p w:rsidR="00F20CAD" w:rsidRDefault="00F20CAD" w:rsidP="00F050E6">
      <w:pPr>
        <w:numPr>
          <w:ilvl w:val="0"/>
          <w:numId w:val="25"/>
        </w:numPr>
        <w:spacing w:before="120" w:after="60"/>
      </w:pPr>
      <w:r w:rsidRPr="00D0067F">
        <w:t>Which biomarker</w:t>
      </w:r>
      <w:r>
        <w:t>(s)</w:t>
      </w:r>
      <w:r w:rsidRPr="00D0067F">
        <w:t xml:space="preserve"> </w:t>
      </w:r>
      <w:r w:rsidR="00D114BC">
        <w:t>were</w:t>
      </w:r>
      <w:r w:rsidRPr="00D0067F">
        <w:t xml:space="preserve"> assessed from the specimen's </w:t>
      </w:r>
      <w:r>
        <w:t xml:space="preserve">urine </w:t>
      </w:r>
      <w:r w:rsidRPr="00D0067F">
        <w:t>sample?</w:t>
      </w:r>
    </w:p>
    <w:p w:rsidR="00F20CAD" w:rsidRPr="0038396D" w:rsidRDefault="00897E74" w:rsidP="00F20CAD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Organic acid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F20CAD">
        <w:t xml:space="preserve"> Organic acids</w:t>
      </w:r>
    </w:p>
    <w:p w:rsidR="00F20CAD" w:rsidRPr="0038396D" w:rsidRDefault="00897E74" w:rsidP="00F20CAD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3-methylglutaconic acid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F20CAD" w:rsidRPr="0038396D">
        <w:t xml:space="preserve"> </w:t>
      </w:r>
      <w:r w:rsidR="00F20CAD">
        <w:t>3-methylglutaconic acid</w:t>
      </w:r>
    </w:p>
    <w:p w:rsidR="00890BD2" w:rsidRPr="0038396D" w:rsidRDefault="00897E74" w:rsidP="00890BD2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Amino acid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F20CAD">
        <w:t xml:space="preserve"> Amino acids</w:t>
      </w:r>
    </w:p>
    <w:p w:rsidR="0044593D" w:rsidRDefault="00897E74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lactate/creatinin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90BD2">
        <w:t xml:space="preserve"> </w:t>
      </w:r>
      <w:proofErr w:type="gramStart"/>
      <w:r w:rsidR="00890BD2">
        <w:t>lactate/creatinine</w:t>
      </w:r>
      <w:proofErr w:type="gramEnd"/>
    </w:p>
    <w:p w:rsidR="00F20CAD" w:rsidRPr="0038396D" w:rsidRDefault="00F20CAD" w:rsidP="00F20CAD">
      <w:pPr>
        <w:spacing w:before="60"/>
        <w:ind w:left="720"/>
      </w:pPr>
    </w:p>
    <w:p w:rsidR="00F20CAD" w:rsidRDefault="00F20CAD" w:rsidP="00F050E6">
      <w:pPr>
        <w:numPr>
          <w:ilvl w:val="0"/>
          <w:numId w:val="25"/>
        </w:numPr>
        <w:spacing w:before="120" w:after="60"/>
      </w:pPr>
      <w:r w:rsidRPr="00D0067F">
        <w:t>Which biomarker</w:t>
      </w:r>
      <w:r>
        <w:t>(s)</w:t>
      </w:r>
      <w:r w:rsidRPr="00D0067F">
        <w:t xml:space="preserve"> </w:t>
      </w:r>
      <w:r w:rsidR="00D114BC">
        <w:t>were</w:t>
      </w:r>
      <w:r w:rsidRPr="00D0067F">
        <w:t xml:space="preserve"> assessed from the specimen's </w:t>
      </w:r>
      <w:r>
        <w:t>cerebrospinal fluid (CSF</w:t>
      </w:r>
      <w:r w:rsidRPr="00D0067F">
        <w:t>) sample?</w:t>
      </w:r>
    </w:p>
    <w:p w:rsidR="00C52FEB" w:rsidRDefault="00C52FEB" w:rsidP="00C52FEB">
      <w:pPr>
        <w:spacing w:before="60"/>
        <w:ind w:left="720"/>
        <w:sectPr w:rsidR="00C52FEB" w:rsidSect="00D0067F">
          <w:type w:val="continuous"/>
          <w:pgSz w:w="12240" w:h="15840"/>
          <w:pgMar w:top="1440" w:right="1440" w:bottom="990" w:left="1440" w:header="720" w:footer="450" w:gutter="0"/>
          <w:cols w:space="720"/>
          <w:docGrid w:linePitch="360"/>
        </w:sectPr>
      </w:pPr>
    </w:p>
    <w:p w:rsidR="00F20CAD" w:rsidRPr="0038396D" w:rsidRDefault="00897E74" w:rsidP="00C52FEB">
      <w:pPr>
        <w:spacing w:before="60"/>
        <w:ind w:left="720"/>
      </w:pPr>
      <w:r>
        <w:lastRenderedPageBreak/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Lactat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C52FEB">
        <w:t xml:space="preserve"> Lactate</w:t>
      </w:r>
    </w:p>
    <w:p w:rsidR="00F20CAD" w:rsidRPr="0038396D" w:rsidRDefault="00897E74" w:rsidP="00C52FEB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Pyruvat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F20CAD" w:rsidRPr="0038396D">
        <w:t xml:space="preserve"> </w:t>
      </w:r>
      <w:r w:rsidR="00C52FEB">
        <w:t>Pyruvate</w:t>
      </w:r>
    </w:p>
    <w:p w:rsidR="00F20CAD" w:rsidRPr="0038396D" w:rsidRDefault="00897E74" w:rsidP="00C52FEB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Lactate/pyruvate ratio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C52FEB">
        <w:t xml:space="preserve"> Lactate/pyruvate ratio</w:t>
      </w:r>
    </w:p>
    <w:p w:rsidR="00C52FEB" w:rsidRPr="0038396D" w:rsidRDefault="00897E74" w:rsidP="00C52FEB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Amino acids (alanine, alanine/lysine ratio, alanine/phenylalanine + lysine ratio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C52FEB">
        <w:t xml:space="preserve"> Amino acids (alanine, alanine/lysine ratio, alanine/phenylalanine + lysine ratio)</w:t>
      </w:r>
    </w:p>
    <w:p w:rsidR="00C52FEB" w:rsidRPr="0038396D" w:rsidRDefault="00897E74" w:rsidP="00C52FEB">
      <w:pPr>
        <w:spacing w:before="60"/>
        <w:ind w:left="720"/>
      </w:pPr>
      <w:r>
        <w:lastRenderedPageBreak/>
        <w:fldChar w:fldCharType="begin">
          <w:ffData>
            <w:name w:val=""/>
            <w:enabled/>
            <w:calcOnExit w:val="0"/>
            <w:helpText w:type="text" w:val="No "/>
            <w:statusText w:type="text" w:val="Cell coun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C52FEB" w:rsidRPr="0038396D">
        <w:t xml:space="preserve"> </w:t>
      </w:r>
      <w:r w:rsidR="00C52FEB">
        <w:t>Cell count</w:t>
      </w:r>
    </w:p>
    <w:p w:rsidR="00D9761A" w:rsidRDefault="00897E74" w:rsidP="00C52FEB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Protei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C52FEB">
        <w:t xml:space="preserve"> Protein</w:t>
      </w:r>
    </w:p>
    <w:p w:rsidR="00C52FEB" w:rsidRPr="0038396D" w:rsidRDefault="00897E74" w:rsidP="00C52FEB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Glucose (with simultaneous blood glucose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C52FEB">
        <w:t xml:space="preserve"> Glucose (with simultaneous blood glucose)</w:t>
      </w:r>
    </w:p>
    <w:p w:rsidR="00C52FEB" w:rsidRDefault="00C52FEB" w:rsidP="006477EF">
      <w:pPr>
        <w:sectPr w:rsidR="00C52FEB" w:rsidSect="00C52FEB">
          <w:type w:val="continuous"/>
          <w:pgSz w:w="12240" w:h="15840"/>
          <w:pgMar w:top="1440" w:right="1440" w:bottom="990" w:left="1440" w:header="720" w:footer="450" w:gutter="0"/>
          <w:cols w:num="2" w:space="720"/>
          <w:docGrid w:linePitch="360"/>
        </w:sectPr>
      </w:pPr>
    </w:p>
    <w:p w:rsidR="00BA2DD7" w:rsidRDefault="00BA2DD7" w:rsidP="005E24E3">
      <w:pPr>
        <w:spacing w:before="120" w:after="60"/>
      </w:pPr>
    </w:p>
    <w:p w:rsidR="005E24E3" w:rsidRDefault="005E24E3" w:rsidP="00F050E6">
      <w:pPr>
        <w:numPr>
          <w:ilvl w:val="0"/>
          <w:numId w:val="25"/>
        </w:numPr>
        <w:spacing w:before="120" w:after="60"/>
      </w:pPr>
      <w:r w:rsidRPr="00D0067F">
        <w:t>Which biomarker</w:t>
      </w:r>
      <w:r>
        <w:t>(s)</w:t>
      </w:r>
      <w:r w:rsidRPr="00D0067F">
        <w:t xml:space="preserve"> </w:t>
      </w:r>
      <w:r w:rsidR="00D114BC">
        <w:t>were</w:t>
      </w:r>
      <w:r w:rsidRPr="00D0067F">
        <w:t xml:space="preserve"> assessed</w:t>
      </w:r>
      <w:r w:rsidR="00C973D9">
        <w:t xml:space="preserve"> from</w:t>
      </w:r>
      <w:r w:rsidR="005F1D75" w:rsidRPr="00D0067F">
        <w:t xml:space="preserve"> </w:t>
      </w:r>
      <w:r w:rsidRPr="00D0067F">
        <w:t xml:space="preserve">the specimen's </w:t>
      </w:r>
      <w:r>
        <w:t xml:space="preserve">fibroblasts </w:t>
      </w:r>
      <w:r w:rsidRPr="00D0067F">
        <w:t>sample?</w:t>
      </w:r>
    </w:p>
    <w:p w:rsidR="00BA2DD7" w:rsidRDefault="00BA2DD7" w:rsidP="005E24E3">
      <w:pPr>
        <w:spacing w:before="60"/>
        <w:ind w:left="720"/>
        <w:sectPr w:rsidR="00BA2DD7" w:rsidSect="00FA579D">
          <w:type w:val="continuous"/>
          <w:pgSz w:w="12240" w:h="15840"/>
          <w:pgMar w:top="1080" w:right="1440" w:bottom="810" w:left="1440" w:header="720" w:footer="450" w:gutter="0"/>
          <w:cols w:space="720"/>
          <w:docGrid w:linePitch="360"/>
        </w:sectPr>
      </w:pPr>
    </w:p>
    <w:p w:rsidR="005E24E3" w:rsidRPr="0038396D" w:rsidRDefault="00897E74" w:rsidP="005E24E3">
      <w:pPr>
        <w:spacing w:before="60"/>
        <w:ind w:left="720"/>
      </w:pPr>
      <w:r>
        <w:lastRenderedPageBreak/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High resolution respirometr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5E24E3">
        <w:t xml:space="preserve"> High resolution respirometry</w:t>
      </w:r>
    </w:p>
    <w:p w:rsidR="005E24E3" w:rsidRPr="0038396D" w:rsidRDefault="00897E74" w:rsidP="005E24E3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OXPHOS enzymolog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5E24E3" w:rsidRPr="0038396D">
        <w:t xml:space="preserve"> </w:t>
      </w:r>
      <w:r w:rsidR="005E24E3">
        <w:t>OXPHOS enzymology</w:t>
      </w:r>
    </w:p>
    <w:p w:rsidR="00D9761A" w:rsidRDefault="00897E74" w:rsidP="005E24E3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Lactate/pyruvate ratio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5E24E3">
        <w:t xml:space="preserve"> Lactate/pyruvate ratio</w:t>
      </w:r>
    </w:p>
    <w:p w:rsidR="005E24E3" w:rsidRPr="0038396D" w:rsidRDefault="00897E74" w:rsidP="005E24E3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Pyruvate dehydrogenase enzymolog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5E24E3">
        <w:t xml:space="preserve"> Pyruvate dehydrogenase</w:t>
      </w:r>
      <w:r w:rsidR="00BA2DD7">
        <w:t xml:space="preserve"> enzymology</w:t>
      </w:r>
    </w:p>
    <w:p w:rsidR="005E24E3" w:rsidRPr="0038396D" w:rsidRDefault="00897E74" w:rsidP="005E24E3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Pyruvate dehydrogenase subunit western blo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5E24E3" w:rsidRPr="0038396D">
        <w:t xml:space="preserve"> </w:t>
      </w:r>
      <w:r w:rsidR="00BA2DD7">
        <w:t>Pyruvate dehydrogenase subunit western blot</w:t>
      </w:r>
    </w:p>
    <w:p w:rsidR="005E24E3" w:rsidRDefault="00897E74" w:rsidP="005E24E3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Pyruvate dehydrogenase immunohistochemistr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5E24E3">
        <w:t xml:space="preserve"> </w:t>
      </w:r>
      <w:r w:rsidR="00BA2DD7">
        <w:t>Pyruvate dehydrogenase immunohistochemistry</w:t>
      </w:r>
    </w:p>
    <w:p w:rsidR="005E24E3" w:rsidRPr="0038396D" w:rsidRDefault="00897E74" w:rsidP="005E24E3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ATP synthesi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5E24E3">
        <w:t xml:space="preserve"> </w:t>
      </w:r>
      <w:r w:rsidR="00BA2DD7">
        <w:t>ATP synthesis</w:t>
      </w:r>
    </w:p>
    <w:p w:rsidR="005E24E3" w:rsidRPr="0038396D" w:rsidRDefault="00897E74" w:rsidP="005E24E3">
      <w:pPr>
        <w:spacing w:before="60"/>
        <w:ind w:left="720"/>
      </w:pPr>
      <w:r>
        <w:lastRenderedPageBreak/>
        <w:fldChar w:fldCharType="begin">
          <w:ffData>
            <w:name w:val=""/>
            <w:enabled/>
            <w:calcOnExit w:val="0"/>
            <w:helpText w:type="text" w:val="No "/>
            <w:statusText w:type="text" w:val="Fibroblast OXPHOS subunit immunohistochemistr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5E24E3" w:rsidRPr="0038396D">
        <w:t xml:space="preserve"> </w:t>
      </w:r>
      <w:r w:rsidR="00BA2DD7">
        <w:t xml:space="preserve">Fibroblast OXPHOS subunit </w:t>
      </w:r>
      <w:r w:rsidR="00D36CCA">
        <w:t>immunohistochemistry</w:t>
      </w:r>
    </w:p>
    <w:p w:rsidR="005E24E3" w:rsidRDefault="00897E74" w:rsidP="005E24E3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OXPHOS subunit western blo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5E24E3">
        <w:t xml:space="preserve"> </w:t>
      </w:r>
      <w:r w:rsidR="00BA2DD7">
        <w:t>OXPHOS subunit western blot</w:t>
      </w:r>
    </w:p>
    <w:p w:rsidR="005E24E3" w:rsidRPr="0038396D" w:rsidRDefault="00897E74" w:rsidP="005E24E3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Blue native gel electrophoresis (OXPHOS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5E24E3">
        <w:t xml:space="preserve"> </w:t>
      </w:r>
      <w:r w:rsidR="00BA2DD7">
        <w:t xml:space="preserve">Blue native gel </w:t>
      </w:r>
      <w:r w:rsidR="00D36CCA">
        <w:t>electrophoresis (OXPHOS)</w:t>
      </w:r>
    </w:p>
    <w:p w:rsidR="00D36CCA" w:rsidRPr="0038396D" w:rsidRDefault="00897E74" w:rsidP="00D36CCA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Clear native gel OXPHOS immunoblo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36CCA" w:rsidRPr="0038396D">
        <w:t xml:space="preserve"> </w:t>
      </w:r>
      <w:r w:rsidR="00D36CCA">
        <w:t>Clear native gel OXPHOS immunoblot</w:t>
      </w:r>
    </w:p>
    <w:p w:rsidR="005E24E3" w:rsidRPr="0038396D" w:rsidRDefault="00897E74" w:rsidP="005E24E3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Clear native gel OXPHOS enzymolog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5E24E3" w:rsidRPr="0038396D">
        <w:t xml:space="preserve"> </w:t>
      </w:r>
      <w:r w:rsidR="00BA2DD7">
        <w:t xml:space="preserve">Clear native gel </w:t>
      </w:r>
      <w:r w:rsidR="00D36CCA">
        <w:t xml:space="preserve">OXPHOS </w:t>
      </w:r>
      <w:r w:rsidR="00BA2DD7">
        <w:t>enzymology</w:t>
      </w:r>
    </w:p>
    <w:p w:rsidR="005E24E3" w:rsidRPr="0038396D" w:rsidRDefault="00897E74" w:rsidP="005E24E3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Coenzyme Q1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5E24E3">
        <w:t xml:space="preserve"> </w:t>
      </w:r>
      <w:r w:rsidR="00D36CCA">
        <w:t>Coenzyme</w:t>
      </w:r>
      <w:r w:rsidR="00BA2DD7">
        <w:t xml:space="preserve"> Q10</w:t>
      </w:r>
    </w:p>
    <w:p w:rsidR="00BA2DD7" w:rsidRDefault="00BA2DD7" w:rsidP="00C52FEB">
      <w:pPr>
        <w:sectPr w:rsidR="00BA2DD7" w:rsidSect="00BA2DD7">
          <w:type w:val="continuous"/>
          <w:pgSz w:w="12240" w:h="15840"/>
          <w:pgMar w:top="1080" w:right="1440" w:bottom="810" w:left="1440" w:header="720" w:footer="450" w:gutter="0"/>
          <w:cols w:num="2" w:space="720"/>
          <w:docGrid w:linePitch="360"/>
        </w:sectPr>
      </w:pPr>
    </w:p>
    <w:p w:rsidR="00DD590E" w:rsidRDefault="00DD590E" w:rsidP="00BA2DD7">
      <w:pPr>
        <w:spacing w:before="120" w:after="60"/>
      </w:pPr>
    </w:p>
    <w:p w:rsidR="00BA2DD7" w:rsidRDefault="00BA2DD7" w:rsidP="00F050E6">
      <w:pPr>
        <w:numPr>
          <w:ilvl w:val="0"/>
          <w:numId w:val="25"/>
        </w:numPr>
        <w:spacing w:before="120" w:after="60"/>
      </w:pPr>
      <w:r w:rsidRPr="00D0067F">
        <w:t>Which biomarker</w:t>
      </w:r>
      <w:r>
        <w:t>(s)</w:t>
      </w:r>
      <w:r w:rsidRPr="00D0067F">
        <w:t xml:space="preserve"> </w:t>
      </w:r>
      <w:r w:rsidR="00D114BC">
        <w:t>were</w:t>
      </w:r>
      <w:r w:rsidRPr="00D0067F">
        <w:t xml:space="preserve"> assessed</w:t>
      </w:r>
      <w:r w:rsidR="00C973D9">
        <w:t xml:space="preserve"> from</w:t>
      </w:r>
      <w:r w:rsidR="005F1D75" w:rsidRPr="00D0067F">
        <w:t xml:space="preserve"> </w:t>
      </w:r>
      <w:r w:rsidRPr="00D0067F">
        <w:t xml:space="preserve">the specimen's </w:t>
      </w:r>
      <w:r>
        <w:t xml:space="preserve">leukocytes </w:t>
      </w:r>
      <w:r w:rsidRPr="00D0067F">
        <w:t>sample?</w:t>
      </w:r>
    </w:p>
    <w:p w:rsidR="00BA2DD7" w:rsidRPr="0038396D" w:rsidRDefault="00897E74" w:rsidP="00BA2DD7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Intracellular free glutathione (fGSH), oxidized disulfide (GSSG), fGSH/GSSG ratio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A2DD7">
        <w:t xml:space="preserve"> Intracellular free glutathione (fGSH)</w:t>
      </w:r>
      <w:r w:rsidR="00F31D9E">
        <w:t>, o</w:t>
      </w:r>
      <w:r w:rsidR="00BA2DD7">
        <w:t>xidized disulfide (GSSG)</w:t>
      </w:r>
      <w:r w:rsidR="00DD590E">
        <w:t>, fGSH/GSSG ratio</w:t>
      </w:r>
    </w:p>
    <w:p w:rsidR="008450CD" w:rsidRPr="00890BD2" w:rsidRDefault="00897E74" w:rsidP="00BA2DD7">
      <w:pPr>
        <w:spacing w:before="60"/>
        <w:ind w:left="720"/>
        <w:rPr>
          <w:lang w:val="fr-FR"/>
        </w:rPr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Intracellular coenzyme Q1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197D09" w:rsidRPr="00197D09">
        <w:rPr>
          <w:lang w:val="fr-FR"/>
        </w:rPr>
        <w:t xml:space="preserve"> Intracellular coenzyme Q10</w:t>
      </w:r>
    </w:p>
    <w:p w:rsidR="00BA2DD7" w:rsidRPr="00890BD2" w:rsidRDefault="00897E74" w:rsidP="00BA2DD7">
      <w:pPr>
        <w:spacing w:before="60"/>
        <w:ind w:left="720"/>
        <w:rPr>
          <w:lang w:val="fr-FR"/>
        </w:rPr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Pyruvate dehydrogenase enzymolog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197D09" w:rsidRPr="00197D09">
        <w:rPr>
          <w:lang w:val="fr-FR"/>
        </w:rPr>
        <w:t xml:space="preserve"> Pyruvate dehydrogenase enzymology</w:t>
      </w:r>
    </w:p>
    <w:p w:rsidR="00BA2DD7" w:rsidRPr="0038396D" w:rsidRDefault="00897E74" w:rsidP="00BA2DD7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Thymidine phosphorylase enzymolog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A2DD7" w:rsidRPr="0038396D">
        <w:t xml:space="preserve"> </w:t>
      </w:r>
      <w:r w:rsidR="00DD590E">
        <w:t>Thymidine phosphorylase enzymology</w:t>
      </w:r>
    </w:p>
    <w:p w:rsidR="00890BD2" w:rsidRDefault="00897E74" w:rsidP="00890BD2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Coenzyme Q10 level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BA2DD7">
        <w:t xml:space="preserve"> </w:t>
      </w:r>
      <w:r w:rsidR="00DD590E">
        <w:t>Coenzyme Q10 level</w:t>
      </w:r>
    </w:p>
    <w:p w:rsidR="004F3B55" w:rsidRDefault="00897E74" w:rsidP="004F3B55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mtDNA deletion/duplicatio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90BD2">
        <w:t xml:space="preserve"> </w:t>
      </w:r>
      <w:proofErr w:type="gramStart"/>
      <w:r w:rsidR="00890BD2">
        <w:t>mtDNA</w:t>
      </w:r>
      <w:proofErr w:type="gramEnd"/>
      <w:r w:rsidR="00890BD2">
        <w:t xml:space="preserve"> deletion/duplication</w:t>
      </w:r>
    </w:p>
    <w:p w:rsidR="004F3B55" w:rsidRDefault="00897E74" w:rsidP="004F3B55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mtDNA copy number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4F3B55">
        <w:t xml:space="preserve"> </w:t>
      </w:r>
      <w:proofErr w:type="gramStart"/>
      <w:r w:rsidR="004F3B55">
        <w:t>mtDNA</w:t>
      </w:r>
      <w:proofErr w:type="gramEnd"/>
      <w:r w:rsidR="004F3B55">
        <w:t xml:space="preserve"> copy number</w:t>
      </w:r>
    </w:p>
    <w:p w:rsidR="00DD590E" w:rsidRDefault="00DD590E" w:rsidP="00890BD2">
      <w:pPr>
        <w:spacing w:before="60"/>
        <w:ind w:left="720"/>
      </w:pPr>
    </w:p>
    <w:p w:rsidR="00DD590E" w:rsidRDefault="00DD590E" w:rsidP="009C62C4">
      <w:pPr>
        <w:numPr>
          <w:ilvl w:val="0"/>
          <w:numId w:val="25"/>
        </w:numPr>
        <w:spacing w:before="240" w:after="60"/>
      </w:pPr>
      <w:r w:rsidRPr="00D0067F">
        <w:lastRenderedPageBreak/>
        <w:t>Which biomarker</w:t>
      </w:r>
      <w:r>
        <w:t>(s)</w:t>
      </w:r>
      <w:r w:rsidRPr="00D0067F">
        <w:t xml:space="preserve"> </w:t>
      </w:r>
      <w:r w:rsidR="00D114BC">
        <w:t>were</w:t>
      </w:r>
      <w:r w:rsidRPr="00D0067F">
        <w:t xml:space="preserve"> assessed</w:t>
      </w:r>
      <w:r w:rsidR="00C973D9">
        <w:t xml:space="preserve"> from</w:t>
      </w:r>
      <w:r w:rsidR="005F1D75" w:rsidRPr="00D0067F">
        <w:t xml:space="preserve"> </w:t>
      </w:r>
      <w:r w:rsidRPr="00D0067F">
        <w:t xml:space="preserve">the specimen's </w:t>
      </w:r>
      <w:r>
        <w:t xml:space="preserve">neutrophils </w:t>
      </w:r>
      <w:r w:rsidRPr="00D0067F">
        <w:t>sample?</w:t>
      </w:r>
    </w:p>
    <w:p w:rsidR="00DD590E" w:rsidRPr="0038396D" w:rsidRDefault="008267F4" w:rsidP="00DD590E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OXPHOS enzymolog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D590E">
        <w:t xml:space="preserve"> OXPHOS enzymology</w:t>
      </w:r>
    </w:p>
    <w:p w:rsidR="00DD590E" w:rsidRDefault="006D2F47" w:rsidP="00DD590E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High resolution respirometr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D590E" w:rsidRPr="0038396D">
        <w:t xml:space="preserve"> </w:t>
      </w:r>
      <w:r w:rsidR="00DD590E">
        <w:t>High resolution respirometry</w:t>
      </w:r>
    </w:p>
    <w:p w:rsidR="00DD590E" w:rsidRDefault="006D2F47" w:rsidP="00DD590E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Coenzyme Q1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D590E">
        <w:t xml:space="preserve"> Coenzyme Q10</w:t>
      </w:r>
    </w:p>
    <w:p w:rsidR="00DD590E" w:rsidRDefault="006D2F47" w:rsidP="00DD590E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Intracellular glutathion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D590E">
        <w:t xml:space="preserve"> Intracellular glutathione</w:t>
      </w:r>
    </w:p>
    <w:p w:rsidR="00DD590E" w:rsidRDefault="00DD590E" w:rsidP="00DD590E">
      <w:pPr>
        <w:spacing w:before="60"/>
        <w:ind w:left="720"/>
      </w:pPr>
    </w:p>
    <w:p w:rsidR="00DD590E" w:rsidRDefault="00DD590E" w:rsidP="00F050E6">
      <w:pPr>
        <w:numPr>
          <w:ilvl w:val="0"/>
          <w:numId w:val="25"/>
        </w:numPr>
        <w:spacing w:before="120" w:after="60"/>
      </w:pPr>
      <w:r w:rsidRPr="00D0067F">
        <w:t>Which biomarker</w:t>
      </w:r>
      <w:r>
        <w:t>(s)</w:t>
      </w:r>
      <w:r w:rsidRPr="00D0067F">
        <w:t xml:space="preserve"> </w:t>
      </w:r>
      <w:r w:rsidR="00D114BC">
        <w:t>were</w:t>
      </w:r>
      <w:r w:rsidR="005F1D75">
        <w:t xml:space="preserve"> assessed</w:t>
      </w:r>
      <w:r w:rsidR="00C973D9">
        <w:t xml:space="preserve"> from</w:t>
      </w:r>
      <w:r w:rsidR="005F1D75" w:rsidRPr="00D0067F">
        <w:t xml:space="preserve"> </w:t>
      </w:r>
      <w:r w:rsidRPr="00D0067F">
        <w:t xml:space="preserve">the specimen's </w:t>
      </w:r>
      <w:r>
        <w:t>mon</w:t>
      </w:r>
      <w:r w:rsidR="00C973D9">
        <w:t>o</w:t>
      </w:r>
      <w:r>
        <w:t xml:space="preserve">cytes </w:t>
      </w:r>
      <w:r w:rsidRPr="00D0067F">
        <w:t>sample?</w:t>
      </w:r>
    </w:p>
    <w:p w:rsidR="00DD590E" w:rsidRPr="0038396D" w:rsidRDefault="006D2F47" w:rsidP="00DD590E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Intracellular free glutathione (fGSH), oxidized disulfide (GSSG), fGSH/GSSG ratio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D590E">
        <w:t xml:space="preserve"> </w:t>
      </w:r>
      <w:r w:rsidR="00F31D9E">
        <w:t>Intracellular free glutathione (fGSH), oxidized disulfide (GSSG), fGSH/GSSG ratio</w:t>
      </w:r>
    </w:p>
    <w:p w:rsidR="00DD590E" w:rsidRDefault="006D2F47" w:rsidP="00DD590E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Pyruvate dehydrogenase enzymolog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D590E" w:rsidRPr="0038396D">
        <w:t xml:space="preserve"> </w:t>
      </w:r>
      <w:r w:rsidR="00F31D9E">
        <w:t>Pyruvate dehydrogenase enzymology</w:t>
      </w:r>
    </w:p>
    <w:p w:rsidR="00DD590E" w:rsidRDefault="006D2F47" w:rsidP="00DD590E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Thymidine phosphorylase enzymolog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D590E">
        <w:t xml:space="preserve"> </w:t>
      </w:r>
      <w:r w:rsidR="00F31D9E">
        <w:t>Thymidine phosphorylase enzymology</w:t>
      </w:r>
    </w:p>
    <w:p w:rsidR="00F31D9E" w:rsidRPr="0038396D" w:rsidRDefault="006D2F47" w:rsidP="00F31D9E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OXPHOS enzymolog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F31D9E">
        <w:t xml:space="preserve"> OXPHOS enzymology</w:t>
      </w:r>
    </w:p>
    <w:p w:rsidR="00F31D9E" w:rsidRDefault="006D2F47" w:rsidP="00F31D9E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High resolution respirometr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F31D9E" w:rsidRPr="0038396D">
        <w:t xml:space="preserve"> </w:t>
      </w:r>
      <w:r w:rsidR="00F31D9E">
        <w:t>High resolution respirometry</w:t>
      </w:r>
    </w:p>
    <w:p w:rsidR="00F31D9E" w:rsidRDefault="006D2F47" w:rsidP="00F31D9E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Coenzyme Q1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F31D9E">
        <w:t xml:space="preserve"> Coenzyme Q10</w:t>
      </w:r>
    </w:p>
    <w:p w:rsidR="00F31D9E" w:rsidRDefault="006D2F47" w:rsidP="00F31D9E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Intracellular glutathion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F31D9E">
        <w:t xml:space="preserve"> Intracellular glutathione</w:t>
      </w:r>
    </w:p>
    <w:p w:rsidR="00DD590E" w:rsidRDefault="00DD590E" w:rsidP="00DD590E">
      <w:pPr>
        <w:spacing w:before="60"/>
        <w:ind w:left="720"/>
      </w:pPr>
    </w:p>
    <w:p w:rsidR="00DD590E" w:rsidRDefault="00DD590E" w:rsidP="00F050E6">
      <w:pPr>
        <w:numPr>
          <w:ilvl w:val="0"/>
          <w:numId w:val="25"/>
        </w:numPr>
        <w:spacing w:before="120" w:after="60"/>
      </w:pPr>
      <w:r w:rsidRPr="00D0067F">
        <w:t>Which biomarker</w:t>
      </w:r>
      <w:r>
        <w:t>(s)</w:t>
      </w:r>
      <w:r w:rsidRPr="00D0067F">
        <w:t xml:space="preserve"> </w:t>
      </w:r>
      <w:r w:rsidR="00D114BC">
        <w:t>were</w:t>
      </w:r>
      <w:r w:rsidR="005F1D75">
        <w:t xml:space="preserve"> assessed</w:t>
      </w:r>
      <w:r w:rsidR="00C973D9">
        <w:t xml:space="preserve"> from</w:t>
      </w:r>
      <w:r w:rsidR="005F1D75" w:rsidRPr="00D0067F">
        <w:t xml:space="preserve"> </w:t>
      </w:r>
      <w:r w:rsidRPr="00D0067F">
        <w:t xml:space="preserve">the specimen's </w:t>
      </w:r>
      <w:r>
        <w:t xml:space="preserve">platelets (high OXPHOS) </w:t>
      </w:r>
      <w:r w:rsidRPr="00D0067F">
        <w:t>sample?</w:t>
      </w:r>
    </w:p>
    <w:p w:rsidR="00DD590E" w:rsidRPr="0038396D" w:rsidRDefault="006D2F47" w:rsidP="00DD590E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OXPHOS enzymolog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D590E">
        <w:t xml:space="preserve"> OXPHOS enzymology</w:t>
      </w:r>
    </w:p>
    <w:p w:rsidR="00DD590E" w:rsidRDefault="006D2F47" w:rsidP="00DD590E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High resolution respirometr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D590E" w:rsidRPr="0038396D">
        <w:t xml:space="preserve"> </w:t>
      </w:r>
      <w:r w:rsidR="00DD590E">
        <w:t>High resolution respirometry</w:t>
      </w:r>
    </w:p>
    <w:p w:rsidR="00DD590E" w:rsidRDefault="006D2F47" w:rsidP="00DD590E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Coenzyme Q1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D590E">
        <w:t xml:space="preserve"> Coenzyme Q10</w:t>
      </w:r>
    </w:p>
    <w:p w:rsidR="00DD590E" w:rsidRDefault="006D2F47" w:rsidP="00DD590E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Peripheral-type benzodiazepine receptor binding kinetic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F31D9E">
        <w:t xml:space="preserve"> Peripheral-type benzodiazepine receptor binding kinetics</w:t>
      </w:r>
    </w:p>
    <w:p w:rsidR="00890BD2" w:rsidRDefault="00890BD2" w:rsidP="00DD590E">
      <w:pPr>
        <w:spacing w:before="60"/>
        <w:ind w:left="720"/>
      </w:pPr>
    </w:p>
    <w:p w:rsidR="00CB1CCD" w:rsidRDefault="00CB1CCD" w:rsidP="00F050E6">
      <w:pPr>
        <w:numPr>
          <w:ilvl w:val="0"/>
          <w:numId w:val="25"/>
        </w:numPr>
        <w:spacing w:before="120" w:after="60"/>
      </w:pPr>
      <w:r w:rsidRPr="00D0067F">
        <w:t>Which biomarker</w:t>
      </w:r>
      <w:r>
        <w:t>(s)</w:t>
      </w:r>
      <w:r w:rsidRPr="00D0067F">
        <w:t xml:space="preserve"> </w:t>
      </w:r>
      <w:r w:rsidR="00D114BC">
        <w:t>were</w:t>
      </w:r>
      <w:r w:rsidRPr="00D0067F">
        <w:t xml:space="preserve"> assessed</w:t>
      </w:r>
      <w:r w:rsidR="00C973D9">
        <w:t xml:space="preserve"> from</w:t>
      </w:r>
      <w:r w:rsidRPr="00D0067F">
        <w:t xml:space="preserve"> the specimen's </w:t>
      </w:r>
      <w:r>
        <w:t xml:space="preserve">lymphocytes </w:t>
      </w:r>
      <w:r w:rsidRPr="00D0067F">
        <w:t>sample?</w:t>
      </w:r>
    </w:p>
    <w:p w:rsidR="00CB1CCD" w:rsidRPr="0038396D" w:rsidRDefault="006D2F47" w:rsidP="00CB1CCD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OXPHOS enzymolog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CB1CCD">
        <w:t xml:space="preserve"> OXPHOS enzymology</w:t>
      </w:r>
    </w:p>
    <w:p w:rsidR="00CB1CCD" w:rsidRDefault="006D2F47" w:rsidP="00CB1CCD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High resolution respirometr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CB1CCD" w:rsidRPr="0038396D">
        <w:t xml:space="preserve"> </w:t>
      </w:r>
      <w:r w:rsidR="00CB1CCD">
        <w:t>High resolution respirometry</w:t>
      </w:r>
    </w:p>
    <w:p w:rsidR="00CB1CCD" w:rsidRDefault="006D2F47" w:rsidP="00CB1CCD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Coenzyme Q1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CB1CCD">
        <w:t xml:space="preserve"> Coenzyme Q10</w:t>
      </w:r>
    </w:p>
    <w:p w:rsidR="00CB1CCD" w:rsidRDefault="006D2F47" w:rsidP="00CB1CCD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Intracellular glutathion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CB1CCD">
        <w:t xml:space="preserve"> Intracellular glutathione</w:t>
      </w:r>
    </w:p>
    <w:p w:rsidR="00CB1CCD" w:rsidRDefault="006D2F47" w:rsidP="00DD590E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DNA strand breaks by comet assay (cultured cells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CB1CCD">
        <w:t xml:space="preserve"> DNA strand breaks by comet assay (cultured cells)</w:t>
      </w:r>
    </w:p>
    <w:p w:rsidR="00CB1CCD" w:rsidRDefault="006D2F47" w:rsidP="00DD590E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Micronucleus assay followed by fluorescence in situ hybridizatio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CB1CCD">
        <w:t xml:space="preserve"> Micronucleus assay followed by fluorescence in situ </w:t>
      </w:r>
      <w:r w:rsidR="00890BD2">
        <w:t>hybridization</w:t>
      </w:r>
    </w:p>
    <w:p w:rsidR="00CB1CCD" w:rsidRDefault="006D2F47" w:rsidP="00DD590E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Pyruvate dehydrogenas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CB1CCD">
        <w:t xml:space="preserve"> Pyruvate dehydrogenase</w:t>
      </w:r>
    </w:p>
    <w:p w:rsidR="00890BD2" w:rsidRDefault="00890BD2" w:rsidP="00DD590E">
      <w:pPr>
        <w:spacing w:before="60"/>
        <w:ind w:left="720"/>
      </w:pPr>
    </w:p>
    <w:p w:rsidR="00CB1CCD" w:rsidRDefault="00CB1CCD" w:rsidP="00F050E6">
      <w:pPr>
        <w:numPr>
          <w:ilvl w:val="0"/>
          <w:numId w:val="25"/>
        </w:numPr>
        <w:spacing w:before="120" w:after="60"/>
      </w:pPr>
      <w:r w:rsidRPr="00D0067F">
        <w:t>Which biomarker</w:t>
      </w:r>
      <w:r>
        <w:t>(s)</w:t>
      </w:r>
      <w:r w:rsidRPr="00D0067F">
        <w:t xml:space="preserve"> </w:t>
      </w:r>
      <w:r w:rsidR="00D114BC">
        <w:t>were</w:t>
      </w:r>
      <w:r w:rsidRPr="00D0067F">
        <w:t xml:space="preserve"> asses</w:t>
      </w:r>
      <w:r w:rsidR="005F1D75">
        <w:t>sed</w:t>
      </w:r>
      <w:r w:rsidRPr="00D0067F">
        <w:t xml:space="preserve"> the specimen's </w:t>
      </w:r>
      <w:r w:rsidR="00D36CCA">
        <w:t>lymphoblast</w:t>
      </w:r>
      <w:r>
        <w:t xml:space="preserve"> </w:t>
      </w:r>
      <w:r w:rsidRPr="00D0067F">
        <w:t>sample?</w:t>
      </w:r>
    </w:p>
    <w:p w:rsidR="00CB1CCD" w:rsidRPr="0038396D" w:rsidRDefault="006D2F47" w:rsidP="00CB1CCD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ATP synthesi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CB1CCD">
        <w:t xml:space="preserve"> ATP synthesis</w:t>
      </w:r>
    </w:p>
    <w:p w:rsidR="00CB1CCD" w:rsidRDefault="006D2F47" w:rsidP="00CB1CCD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High resolution respirometr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CB1CCD" w:rsidRPr="0038396D">
        <w:t xml:space="preserve"> </w:t>
      </w:r>
      <w:r w:rsidR="00CB1CCD">
        <w:t>High resolution respirometry</w:t>
      </w:r>
    </w:p>
    <w:p w:rsidR="00CB1CCD" w:rsidRDefault="00CB1CCD" w:rsidP="00DD590E">
      <w:pPr>
        <w:spacing w:before="60"/>
        <w:ind w:left="720"/>
      </w:pPr>
    </w:p>
    <w:p w:rsidR="00C50DBE" w:rsidRDefault="00C50DBE" w:rsidP="00C50DBE">
      <w:pPr>
        <w:pStyle w:val="Heading2"/>
      </w:pPr>
      <w:r>
        <w:t>PLACEHOLDER</w:t>
      </w:r>
    </w:p>
    <w:p w:rsidR="00DD590E" w:rsidRDefault="00DD590E" w:rsidP="00F050E6">
      <w:pPr>
        <w:numPr>
          <w:ilvl w:val="0"/>
          <w:numId w:val="25"/>
        </w:numPr>
        <w:spacing w:before="120" w:after="60"/>
      </w:pPr>
      <w:r w:rsidRPr="00D0067F">
        <w:t>Which biomarker</w:t>
      </w:r>
      <w:r>
        <w:t>(s)</w:t>
      </w:r>
      <w:r w:rsidRPr="00D0067F">
        <w:t xml:space="preserve"> </w:t>
      </w:r>
      <w:r w:rsidR="00D114BC">
        <w:t>were</w:t>
      </w:r>
      <w:r w:rsidRPr="00D0067F">
        <w:t xml:space="preserve"> assessed from the specimen's </w:t>
      </w:r>
      <w:r w:rsidR="00CB1CCD">
        <w:t>muscle biochemistry</w:t>
      </w:r>
      <w:r w:rsidRPr="00D0067F">
        <w:t>?</w:t>
      </w:r>
    </w:p>
    <w:p w:rsidR="00845046" w:rsidRDefault="00845046" w:rsidP="00DD590E">
      <w:pPr>
        <w:spacing w:before="60"/>
        <w:ind w:left="720"/>
        <w:sectPr w:rsidR="00845046" w:rsidSect="00FA579D">
          <w:type w:val="continuous"/>
          <w:pgSz w:w="12240" w:h="15840"/>
          <w:pgMar w:top="1080" w:right="1440" w:bottom="810" w:left="1440" w:header="720" w:footer="450" w:gutter="0"/>
          <w:cols w:space="720"/>
          <w:docGrid w:linePitch="360"/>
        </w:sectPr>
      </w:pPr>
    </w:p>
    <w:p w:rsidR="00DD590E" w:rsidRPr="0038396D" w:rsidRDefault="006D2F47" w:rsidP="00DD590E">
      <w:pPr>
        <w:spacing w:before="60"/>
        <w:ind w:left="720"/>
      </w:pPr>
      <w:r>
        <w:lastRenderedPageBreak/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OXPHOS enzymolog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D590E">
        <w:t xml:space="preserve"> OXPHOS enzymology</w:t>
      </w:r>
    </w:p>
    <w:p w:rsidR="00DD590E" w:rsidRDefault="006D2F47" w:rsidP="00DD590E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High resolution respirometr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D590E" w:rsidRPr="0038396D">
        <w:t xml:space="preserve"> </w:t>
      </w:r>
      <w:r w:rsidR="00DD590E">
        <w:t>High resolution respirometry</w:t>
      </w:r>
    </w:p>
    <w:p w:rsidR="00DD590E" w:rsidRDefault="006D2F47" w:rsidP="00DD590E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mtDNA copy number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D590E">
        <w:t xml:space="preserve"> </w:t>
      </w:r>
      <w:proofErr w:type="gramStart"/>
      <w:r w:rsidR="00845046">
        <w:t>mtDNA</w:t>
      </w:r>
      <w:proofErr w:type="gramEnd"/>
      <w:r w:rsidR="00845046">
        <w:t xml:space="preserve"> copy number</w:t>
      </w:r>
    </w:p>
    <w:p w:rsidR="00845046" w:rsidRDefault="006D2F47" w:rsidP="00DD590E">
      <w:pPr>
        <w:spacing w:before="60"/>
        <w:ind w:left="720"/>
      </w:pPr>
      <w:r>
        <w:lastRenderedPageBreak/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mtDNA deletion/duplicatio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DD590E">
        <w:t xml:space="preserve"> </w:t>
      </w:r>
      <w:proofErr w:type="gramStart"/>
      <w:r w:rsidR="00845046">
        <w:t>mtDNA</w:t>
      </w:r>
      <w:proofErr w:type="gramEnd"/>
      <w:r w:rsidR="00845046">
        <w:t xml:space="preserve"> deletion/duplication</w:t>
      </w:r>
    </w:p>
    <w:p w:rsidR="00845046" w:rsidRPr="0038396D" w:rsidRDefault="00444C13" w:rsidP="00845046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Pyruvate dehydrogenase enzymolog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45046">
        <w:t xml:space="preserve"> Pyruvate dehydrogenase enzymology</w:t>
      </w:r>
    </w:p>
    <w:p w:rsidR="00845046" w:rsidRDefault="00444C13" w:rsidP="00845046">
      <w:pPr>
        <w:spacing w:before="60"/>
        <w:ind w:left="720"/>
      </w:pPr>
      <w:r>
        <w:lastRenderedPageBreak/>
        <w:fldChar w:fldCharType="begin">
          <w:ffData>
            <w:name w:val=""/>
            <w:enabled/>
            <w:calcOnExit w:val="0"/>
            <w:helpText w:type="text" w:val="No "/>
            <w:statusText w:type="text" w:val="Pyruvate dehydrogenase subunit western blo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45046" w:rsidRPr="0038396D">
        <w:t xml:space="preserve"> </w:t>
      </w:r>
      <w:r w:rsidR="00845046">
        <w:t>Pyruvate dehydrogenase subunit western blot</w:t>
      </w:r>
    </w:p>
    <w:p w:rsidR="00845046" w:rsidRDefault="00444C13" w:rsidP="00845046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Coenzyme Q1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45046">
        <w:t xml:space="preserve"> Coenzyme Q10</w:t>
      </w:r>
    </w:p>
    <w:p w:rsidR="00845046" w:rsidRDefault="00444C13" w:rsidP="00845046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Glutathione conten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45046">
        <w:t xml:space="preserve"> Glutathione</w:t>
      </w:r>
      <w:r w:rsidR="00561917">
        <w:t xml:space="preserve"> content</w:t>
      </w:r>
    </w:p>
    <w:p w:rsidR="00845046" w:rsidRPr="0038396D" w:rsidRDefault="00444C13" w:rsidP="00845046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OXPHOS subunit western blo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45046">
        <w:t xml:space="preserve"> OXPHOS subunit western blot</w:t>
      </w:r>
    </w:p>
    <w:p w:rsidR="00845046" w:rsidRDefault="00444C13" w:rsidP="00845046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Blue native gel electrophoresi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45046" w:rsidRPr="0038396D">
        <w:t xml:space="preserve"> </w:t>
      </w:r>
      <w:r w:rsidR="00845046">
        <w:t>Blue native gel electrophoresis</w:t>
      </w:r>
    </w:p>
    <w:p w:rsidR="00845046" w:rsidRDefault="00444C13" w:rsidP="00845046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Clear native gel immunoblo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5F1D75">
        <w:t xml:space="preserve"> Clear native gel immunoblot</w:t>
      </w:r>
    </w:p>
    <w:p w:rsidR="00845046" w:rsidRDefault="00444C13" w:rsidP="00845046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Clear native gel enzymolog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45046">
        <w:t xml:space="preserve"> Clear native gel enzymology</w:t>
      </w:r>
    </w:p>
    <w:p w:rsidR="00845046" w:rsidRPr="0038396D" w:rsidRDefault="00444C13" w:rsidP="00845046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Human mitochondrial transcription factor A (hmtTFA or Tfam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45046">
        <w:t xml:space="preserve"> Human mitochondrial transcription factor </w:t>
      </w:r>
      <w:proofErr w:type="gramStart"/>
      <w:r w:rsidR="00845046">
        <w:t>A</w:t>
      </w:r>
      <w:proofErr w:type="gramEnd"/>
      <w:r w:rsidR="00845046">
        <w:t xml:space="preserve"> (hm</w:t>
      </w:r>
      <w:r w:rsidR="00277B62">
        <w:t>t</w:t>
      </w:r>
      <w:r w:rsidR="00845046">
        <w:t>TFA or Tfam)</w:t>
      </w:r>
    </w:p>
    <w:p w:rsidR="00845046" w:rsidRDefault="00444C13" w:rsidP="00845046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mtDNA absence sensitive factor (midas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45046" w:rsidRPr="0038396D">
        <w:t xml:space="preserve"> </w:t>
      </w:r>
      <w:proofErr w:type="gramStart"/>
      <w:r w:rsidR="00845046">
        <w:t>mtDNA</w:t>
      </w:r>
      <w:proofErr w:type="gramEnd"/>
      <w:r w:rsidR="00845046">
        <w:t xml:space="preserve"> absence sensitive factor (midas)</w:t>
      </w:r>
    </w:p>
    <w:p w:rsidR="00845046" w:rsidRDefault="00444C13" w:rsidP="00845046">
      <w:pPr>
        <w:spacing w:before="60"/>
        <w:ind w:left="720"/>
      </w:pPr>
      <w:r>
        <w:lastRenderedPageBreak/>
        <w:fldChar w:fldCharType="begin">
          <w:ffData>
            <w:name w:val=""/>
            <w:enabled/>
            <w:calcOnExit w:val="0"/>
            <w:helpText w:type="text" w:val="Unknown "/>
            <w:statusText w:type="text" w:val="Biogenesis regulator peroxisome proliferator-activated recerptor-gamma-coactivator-1alpha (PGC-1alpha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45046">
        <w:t xml:space="preserve"> Biogenesis regulator peroxisome proliferator-activated recerptor-gamma-coactivator-1alpha (PGC-1alpha)</w:t>
      </w:r>
    </w:p>
    <w:p w:rsidR="00845046" w:rsidRDefault="00444C13" w:rsidP="00845046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8-oxoguanine DNA glycolase-1 (OCG-1) 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45046">
        <w:t xml:space="preserve"> 8-oxoguanine DNA glycolase-1 (OCG-1) </w:t>
      </w:r>
    </w:p>
    <w:p w:rsidR="00845046" w:rsidRPr="0038396D" w:rsidRDefault="00444C13" w:rsidP="00845046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Manganese superoxide dismutase (MnSOD) 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45046">
        <w:t xml:space="preserve"> Manganese </w:t>
      </w:r>
      <w:r w:rsidR="00D36CCA">
        <w:t>superoxide</w:t>
      </w:r>
      <w:r w:rsidR="00845046">
        <w:t xml:space="preserve"> dismutase (MnSOD) </w:t>
      </w:r>
    </w:p>
    <w:p w:rsidR="00845046" w:rsidRDefault="00444C13" w:rsidP="00845046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AIF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45046" w:rsidRPr="0038396D">
        <w:t xml:space="preserve"> </w:t>
      </w:r>
      <w:r w:rsidR="00845046">
        <w:t>AIF</w:t>
      </w:r>
    </w:p>
    <w:p w:rsidR="00845046" w:rsidRDefault="00444C13" w:rsidP="00845046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Bcl-2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45046">
        <w:t xml:space="preserve"> Bcl-2</w:t>
      </w:r>
    </w:p>
    <w:p w:rsidR="00845046" w:rsidRDefault="00444C13" w:rsidP="00845046">
      <w:pPr>
        <w:spacing w:before="60"/>
        <w:ind w:left="720"/>
        <w:sectPr w:rsidR="00845046" w:rsidSect="00845046">
          <w:type w:val="continuous"/>
          <w:pgSz w:w="12240" w:h="15840"/>
          <w:pgMar w:top="1080" w:right="1440" w:bottom="810" w:left="1440" w:header="720" w:footer="450" w:gutter="0"/>
          <w:cols w:num="2" w:space="720"/>
          <w:docGrid w:linePitch="360"/>
        </w:sectPr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Aconitase enzymolog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45046">
        <w:t xml:space="preserve"> Aconitase enzymology</w:t>
      </w:r>
    </w:p>
    <w:p w:rsidR="001D4BAD" w:rsidRDefault="001D4BAD" w:rsidP="00845046">
      <w:pPr>
        <w:spacing w:before="60"/>
        <w:ind w:left="720"/>
      </w:pPr>
    </w:p>
    <w:p w:rsidR="001D4BAD" w:rsidRDefault="001D4BAD" w:rsidP="00F050E6">
      <w:pPr>
        <w:numPr>
          <w:ilvl w:val="0"/>
          <w:numId w:val="25"/>
        </w:numPr>
        <w:spacing w:before="120" w:after="60"/>
      </w:pPr>
      <w:r w:rsidRPr="00D0067F">
        <w:t>Which biomarker</w:t>
      </w:r>
      <w:r>
        <w:t>(s)</w:t>
      </w:r>
      <w:r w:rsidRPr="00D0067F">
        <w:t xml:space="preserve"> </w:t>
      </w:r>
      <w:r w:rsidR="00D114BC">
        <w:t>were</w:t>
      </w:r>
      <w:r w:rsidRPr="00D0067F">
        <w:t xml:space="preserve"> assessed from the specimen's </w:t>
      </w:r>
      <w:r>
        <w:t>muscle histology</w:t>
      </w:r>
      <w:r w:rsidRPr="00D0067F">
        <w:t>?</w:t>
      </w:r>
    </w:p>
    <w:p w:rsidR="0063786A" w:rsidRPr="0038396D" w:rsidRDefault="00444C13" w:rsidP="0063786A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Gomori trichrom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>
        <w:t xml:space="preserve"> Gomori trich</w:t>
      </w:r>
      <w:r w:rsidR="00D36CCA">
        <w:t>r</w:t>
      </w:r>
      <w:r w:rsidR="0063786A">
        <w:t>ome</w:t>
      </w:r>
    </w:p>
    <w:p w:rsidR="0063786A" w:rsidRDefault="00444C13" w:rsidP="0063786A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Succinate dehydrogenase (SDH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 w:rsidRPr="0038396D">
        <w:t xml:space="preserve"> </w:t>
      </w:r>
      <w:r w:rsidR="0063786A">
        <w:t>Succinate dehydrogenase (SDH)</w:t>
      </w:r>
    </w:p>
    <w:p w:rsidR="0063786A" w:rsidRDefault="00444C13" w:rsidP="0063786A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Cytochrome C Oxidase (COX) (Complex IV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>
        <w:t xml:space="preserve"> Cy</w:t>
      </w:r>
      <w:r w:rsidR="00E21B81">
        <w:t>tochrome C O</w:t>
      </w:r>
      <w:r w:rsidR="0063786A">
        <w:t>xidase (COX) (Complex IV)</w:t>
      </w:r>
    </w:p>
    <w:p w:rsidR="0063786A" w:rsidRDefault="00444C13" w:rsidP="0063786A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Combined SDH + COX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>
        <w:t xml:space="preserve"> Combined SDH + COX</w:t>
      </w:r>
    </w:p>
    <w:p w:rsidR="0063786A" w:rsidRPr="0038396D" w:rsidRDefault="00444C13" w:rsidP="0063786A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Fibroblast growth factor 21 (FGF21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277B62">
        <w:t xml:space="preserve"> Fibroblast growth factor 21 (FGF</w:t>
      </w:r>
      <w:r w:rsidR="0063786A">
        <w:t>21)</w:t>
      </w:r>
    </w:p>
    <w:p w:rsidR="0063786A" w:rsidRDefault="00444C13" w:rsidP="0063786A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OXPHOS subunit immunohistochemistr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 w:rsidRPr="0038396D">
        <w:t xml:space="preserve"> </w:t>
      </w:r>
      <w:r w:rsidR="0063786A">
        <w:t>OXPHOS subunit immunohistochemistry</w:t>
      </w:r>
    </w:p>
    <w:p w:rsidR="0063786A" w:rsidRDefault="00444C13" w:rsidP="0063786A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Humanin immunohistochemistr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>
        <w:t xml:space="preserve"> Humanin </w:t>
      </w:r>
      <w:r w:rsidR="00E21B81">
        <w:t>immunohistochemistry</w:t>
      </w:r>
    </w:p>
    <w:p w:rsidR="0063786A" w:rsidRDefault="0063786A" w:rsidP="0063786A">
      <w:pPr>
        <w:spacing w:before="60"/>
        <w:ind w:left="720"/>
      </w:pPr>
    </w:p>
    <w:p w:rsidR="0063786A" w:rsidRDefault="0063786A" w:rsidP="00F050E6">
      <w:pPr>
        <w:numPr>
          <w:ilvl w:val="0"/>
          <w:numId w:val="25"/>
        </w:numPr>
        <w:spacing w:before="120" w:after="60"/>
      </w:pPr>
      <w:r w:rsidRPr="00D0067F">
        <w:t>Which biomarker</w:t>
      </w:r>
      <w:r>
        <w:t>(s)</w:t>
      </w:r>
      <w:r w:rsidRPr="00D0067F">
        <w:t xml:space="preserve"> </w:t>
      </w:r>
      <w:r w:rsidR="00D114BC">
        <w:t>were</w:t>
      </w:r>
      <w:r w:rsidRPr="00D0067F">
        <w:t xml:space="preserve"> assessed from the specimen's </w:t>
      </w:r>
      <w:r>
        <w:t>myotubes</w:t>
      </w:r>
      <w:r w:rsidRPr="00D0067F">
        <w:t>?</w:t>
      </w:r>
    </w:p>
    <w:p w:rsidR="0063786A" w:rsidRPr="0038396D" w:rsidRDefault="00444C13" w:rsidP="0063786A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Metabolic profiling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>
        <w:t xml:space="preserve"> Metabolic profiling</w:t>
      </w:r>
    </w:p>
    <w:p w:rsidR="0063786A" w:rsidRDefault="00444C13" w:rsidP="0063786A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High resolution respirometr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 w:rsidRPr="0038396D">
        <w:t xml:space="preserve"> </w:t>
      </w:r>
      <w:r w:rsidR="0063786A">
        <w:t xml:space="preserve">High resolution </w:t>
      </w:r>
      <w:r w:rsidR="00E21B81">
        <w:t>respirometry</w:t>
      </w:r>
    </w:p>
    <w:p w:rsidR="0063786A" w:rsidRDefault="0063786A" w:rsidP="0063786A">
      <w:pPr>
        <w:spacing w:before="120" w:after="60"/>
      </w:pPr>
    </w:p>
    <w:p w:rsidR="0063786A" w:rsidRDefault="0063786A" w:rsidP="00F050E6">
      <w:pPr>
        <w:numPr>
          <w:ilvl w:val="0"/>
          <w:numId w:val="25"/>
        </w:numPr>
        <w:spacing w:before="120" w:after="60"/>
      </w:pPr>
      <w:r w:rsidRPr="00D0067F">
        <w:t>Which biomarker</w:t>
      </w:r>
      <w:r>
        <w:t>(s)</w:t>
      </w:r>
      <w:r w:rsidRPr="00D0067F">
        <w:t xml:space="preserve"> </w:t>
      </w:r>
      <w:r w:rsidR="00D114BC">
        <w:t>were</w:t>
      </w:r>
      <w:r w:rsidRPr="00D0067F">
        <w:t xml:space="preserve"> assessed from the specimen's </w:t>
      </w:r>
      <w:r>
        <w:t>genetics</w:t>
      </w:r>
      <w:r w:rsidRPr="00D0067F">
        <w:t>?</w:t>
      </w:r>
    </w:p>
    <w:p w:rsidR="0063786A" w:rsidRPr="0038396D" w:rsidRDefault="00444C13" w:rsidP="0063786A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Cellular energetics gene sequencing (NDS) (nDNA + mtDNA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>
        <w:t xml:space="preserve"> Cellular energetics gene sequencing (NDS) (nDNA + mtDNA)</w:t>
      </w:r>
    </w:p>
    <w:p w:rsidR="0063786A" w:rsidRDefault="00444C13" w:rsidP="0063786A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mtDNA sequencing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 w:rsidRPr="0038396D">
        <w:t xml:space="preserve"> </w:t>
      </w:r>
      <w:proofErr w:type="gramStart"/>
      <w:r w:rsidR="0063786A">
        <w:t>mtDNA</w:t>
      </w:r>
      <w:proofErr w:type="gramEnd"/>
      <w:r w:rsidR="0063786A">
        <w:t xml:space="preserve"> sequencing</w:t>
      </w:r>
    </w:p>
    <w:p w:rsidR="0063786A" w:rsidRDefault="00444C13" w:rsidP="0063786A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Exome sequencing (NGS) (nDNA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>
        <w:t xml:space="preserve"> Exome sequencing (NGS) (nDNA)</w:t>
      </w:r>
    </w:p>
    <w:p w:rsidR="0063786A" w:rsidRDefault="00444C13" w:rsidP="0063786A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mtDNA deletion/duplication (leukocytes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>
        <w:t xml:space="preserve"> </w:t>
      </w:r>
      <w:proofErr w:type="gramStart"/>
      <w:r w:rsidR="0063786A">
        <w:t>mtDNA</w:t>
      </w:r>
      <w:proofErr w:type="gramEnd"/>
      <w:r w:rsidR="0063786A">
        <w:t xml:space="preserve"> deletion/duplication (leukocytes)</w:t>
      </w:r>
    </w:p>
    <w:p w:rsidR="0063786A" w:rsidRPr="0038396D" w:rsidRDefault="00444C13" w:rsidP="0063786A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mtDNA deletion/duplication (muscle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>
        <w:t xml:space="preserve"> </w:t>
      </w:r>
      <w:proofErr w:type="gramStart"/>
      <w:r w:rsidR="0063786A">
        <w:t>mtDNA</w:t>
      </w:r>
      <w:proofErr w:type="gramEnd"/>
      <w:r w:rsidR="0063786A">
        <w:t xml:space="preserve"> deletion/duplication (muscle)</w:t>
      </w:r>
    </w:p>
    <w:p w:rsidR="00277B62" w:rsidRDefault="00444C13" w:rsidP="00277B62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mtDNA copy number (leukocytes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277B62">
        <w:t xml:space="preserve"> </w:t>
      </w:r>
      <w:proofErr w:type="gramStart"/>
      <w:r w:rsidR="00277B62">
        <w:t>mtDNA</w:t>
      </w:r>
      <w:proofErr w:type="gramEnd"/>
      <w:r w:rsidR="00277B62">
        <w:t xml:space="preserve"> copy number (leukocytes)</w:t>
      </w:r>
    </w:p>
    <w:p w:rsidR="00277B62" w:rsidRPr="0038396D" w:rsidRDefault="00444C13" w:rsidP="00277B62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mtDNA copy number (muscle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277B62">
        <w:t xml:space="preserve"> </w:t>
      </w:r>
      <w:proofErr w:type="gramStart"/>
      <w:r w:rsidR="00277B62">
        <w:t>mtDNA</w:t>
      </w:r>
      <w:proofErr w:type="gramEnd"/>
      <w:r w:rsidR="00277B62">
        <w:t xml:space="preserve"> copy number (muscle)</w:t>
      </w:r>
    </w:p>
    <w:p w:rsidR="0063786A" w:rsidRDefault="00444C13" w:rsidP="0063786A">
      <w:pPr>
        <w:spacing w:before="60"/>
        <w:ind w:left="720"/>
      </w:pPr>
      <w:r>
        <w:fldChar w:fldCharType="begin">
          <w:ffData>
            <w:name w:val=""/>
            <w:enabled/>
            <w:calcOnExit w:val="0"/>
            <w:helpText w:type="text" w:val="No "/>
            <w:statusText w:type="text" w:val="Mitochondrial haplotyp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 w:rsidRPr="0038396D">
        <w:t xml:space="preserve"> </w:t>
      </w:r>
      <w:r w:rsidR="0063786A">
        <w:t>Mitochondrial haplotype</w:t>
      </w:r>
    </w:p>
    <w:p w:rsidR="001832E3" w:rsidRPr="0038396D" w:rsidRDefault="00444C13" w:rsidP="00F050E6">
      <w:pPr>
        <w:spacing w:before="60"/>
        <w:ind w:left="720"/>
        <w:sectPr w:rsidR="001832E3" w:rsidRPr="0038396D" w:rsidSect="00FA579D">
          <w:type w:val="continuous"/>
          <w:pgSz w:w="12240" w:h="15840"/>
          <w:pgMar w:top="1080" w:right="1440" w:bottom="810" w:left="1440" w:header="720" w:footer="450" w:gutter="0"/>
          <w:cols w:space="720"/>
          <w:docGrid w:linePitch="360"/>
        </w:sectPr>
      </w:pPr>
      <w:r>
        <w:fldChar w:fldCharType="begin">
          <w:ffData>
            <w:name w:val=""/>
            <w:enabled/>
            <w:calcOnExit w:val="0"/>
            <w:helpText w:type="text" w:val="Unknown "/>
            <w:statusText w:type="text" w:val="Mitochondrial gene expression profiling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3786A">
        <w:t xml:space="preserve"> Mitochondrial gene expressio</w:t>
      </w:r>
      <w:r w:rsidR="00396B26">
        <w:t>n profiling</w:t>
      </w:r>
    </w:p>
    <w:p w:rsidR="00380875" w:rsidRPr="009C62C4" w:rsidRDefault="00C34E49" w:rsidP="009C62C4">
      <w:pPr>
        <w:pStyle w:val="Heading2"/>
      </w:pPr>
      <w:r w:rsidRPr="009C62C4">
        <w:lastRenderedPageBreak/>
        <w:t>References</w:t>
      </w:r>
    </w:p>
    <w:p w:rsidR="00C34E49" w:rsidRDefault="00C34E49" w:rsidP="00204861">
      <w:pPr>
        <w:spacing w:before="120"/>
        <w:rPr>
          <w:b/>
          <w:sz w:val="24"/>
        </w:rPr>
      </w:pPr>
    </w:p>
    <w:p w:rsidR="00C34E49" w:rsidRPr="00C34E49" w:rsidRDefault="00C22557" w:rsidP="00C34E49">
      <w:pPr>
        <w:ind w:left="720" w:hanging="720"/>
        <w:rPr>
          <w:rFonts w:cs="Arial"/>
          <w:smallCaps/>
          <w:noProof/>
          <w:szCs w:val="22"/>
        </w:rPr>
      </w:pPr>
      <w:r w:rsidRPr="00C34E49">
        <w:rPr>
          <w:rFonts w:cs="Arial"/>
          <w:smallCaps/>
          <w:szCs w:val="22"/>
        </w:rPr>
        <w:fldChar w:fldCharType="begin"/>
      </w:r>
      <w:r w:rsidR="00C34E49" w:rsidRPr="00C34E49">
        <w:rPr>
          <w:rFonts w:cs="Arial"/>
          <w:smallCaps/>
          <w:szCs w:val="22"/>
        </w:rPr>
        <w:instrText xml:space="preserve"> ADDIN EN.REFLIST </w:instrText>
      </w:r>
      <w:r w:rsidRPr="00C34E49">
        <w:rPr>
          <w:rFonts w:cs="Arial"/>
          <w:smallCaps/>
          <w:szCs w:val="22"/>
        </w:rPr>
        <w:fldChar w:fldCharType="separate"/>
      </w:r>
      <w:bookmarkStart w:id="3" w:name="_ENREF_1"/>
      <w:r w:rsidR="00C34E49" w:rsidRPr="00C34E49">
        <w:rPr>
          <w:rFonts w:cs="Arial"/>
          <w:smallCaps/>
          <w:noProof/>
          <w:szCs w:val="22"/>
        </w:rPr>
        <w:t>1.</w:t>
      </w:r>
      <w:r w:rsidR="00C34E49" w:rsidRPr="00C34E49">
        <w:rPr>
          <w:rFonts w:cs="Arial"/>
          <w:smallCaps/>
          <w:noProof/>
          <w:szCs w:val="22"/>
        </w:rPr>
        <w:tab/>
        <w:t xml:space="preserve">Taivassalo, T., et al., </w:t>
      </w:r>
      <w:r w:rsidR="00C34E49" w:rsidRPr="00C34E49">
        <w:rPr>
          <w:rFonts w:cs="Arial"/>
          <w:i/>
          <w:smallCaps/>
          <w:noProof/>
          <w:szCs w:val="22"/>
        </w:rPr>
        <w:t>The spectrum of exercise tolerance in mitochondrial myopathies: a study of 40 patients.</w:t>
      </w:r>
      <w:r w:rsidR="00C34E49" w:rsidRPr="00C34E49">
        <w:rPr>
          <w:rFonts w:cs="Arial"/>
          <w:smallCaps/>
          <w:noProof/>
          <w:szCs w:val="22"/>
        </w:rPr>
        <w:t xml:space="preserve"> Brain, 2003. 126(Pt 2): p. 413-23.</w:t>
      </w:r>
      <w:bookmarkEnd w:id="3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4" w:name="_ENREF_2"/>
      <w:r w:rsidRPr="00C34E49">
        <w:rPr>
          <w:rFonts w:cs="Arial"/>
          <w:smallCaps/>
          <w:noProof/>
          <w:szCs w:val="22"/>
        </w:rPr>
        <w:t>2.</w:t>
      </w:r>
      <w:r w:rsidRPr="00C34E49">
        <w:rPr>
          <w:rFonts w:cs="Arial"/>
          <w:smallCaps/>
          <w:noProof/>
          <w:szCs w:val="22"/>
        </w:rPr>
        <w:tab/>
        <w:t xml:space="preserve">Siciliano, G., et al., </w:t>
      </w:r>
      <w:r w:rsidRPr="00C34E49">
        <w:rPr>
          <w:rFonts w:cs="Arial"/>
          <w:i/>
          <w:smallCaps/>
          <w:noProof/>
          <w:szCs w:val="22"/>
        </w:rPr>
        <w:t>Effects of aerobic training on lactate and catecholaminergic exercise responses in mitochondrial myopathies.</w:t>
      </w:r>
      <w:r w:rsidRPr="00C34E49">
        <w:rPr>
          <w:rFonts w:cs="Arial"/>
          <w:smallCaps/>
          <w:noProof/>
          <w:szCs w:val="22"/>
        </w:rPr>
        <w:t xml:space="preserve"> Neuromuscul Disord, 2000. 10(1): p. 40-5.</w:t>
      </w:r>
      <w:bookmarkEnd w:id="4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5" w:name="_ENREF_3"/>
      <w:r w:rsidRPr="00C34E49">
        <w:rPr>
          <w:rFonts w:cs="Arial"/>
          <w:smallCaps/>
          <w:noProof/>
          <w:szCs w:val="22"/>
        </w:rPr>
        <w:t>3.</w:t>
      </w:r>
      <w:r w:rsidRPr="00C34E49">
        <w:rPr>
          <w:rFonts w:cs="Arial"/>
          <w:smallCaps/>
          <w:noProof/>
          <w:szCs w:val="22"/>
        </w:rPr>
        <w:tab/>
        <w:t xml:space="preserve">Taivassalo, T., et al., </w:t>
      </w:r>
      <w:r w:rsidRPr="00C34E49">
        <w:rPr>
          <w:rFonts w:cs="Arial"/>
          <w:i/>
          <w:smallCaps/>
          <w:noProof/>
          <w:szCs w:val="22"/>
        </w:rPr>
        <w:t>Effects of aerobic training in patients with mitochondrial myopathies.</w:t>
      </w:r>
      <w:r w:rsidRPr="00C34E49">
        <w:rPr>
          <w:rFonts w:cs="Arial"/>
          <w:smallCaps/>
          <w:noProof/>
          <w:szCs w:val="22"/>
        </w:rPr>
        <w:t xml:space="preserve"> Neurology, 1998. 50(4): p. 1055-60.</w:t>
      </w:r>
      <w:bookmarkEnd w:id="5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6" w:name="_ENREF_4"/>
      <w:r w:rsidRPr="00C34E49">
        <w:rPr>
          <w:rFonts w:cs="Arial"/>
          <w:smallCaps/>
          <w:noProof/>
          <w:szCs w:val="22"/>
        </w:rPr>
        <w:t>4.</w:t>
      </w:r>
      <w:r w:rsidRPr="00C34E49">
        <w:rPr>
          <w:rFonts w:cs="Arial"/>
          <w:smallCaps/>
          <w:noProof/>
          <w:szCs w:val="22"/>
        </w:rPr>
        <w:tab/>
        <w:t xml:space="preserve">Taivassalo, T., et al., </w:t>
      </w:r>
      <w:r w:rsidRPr="00C34E49">
        <w:rPr>
          <w:rFonts w:cs="Arial"/>
          <w:i/>
          <w:smallCaps/>
          <w:noProof/>
          <w:szCs w:val="22"/>
        </w:rPr>
        <w:t>Combined aerobic training and dichloroacetate improve exercise capacity and indices of aerobic metabolism in muscle cytochrome oxidase deficiency.</w:t>
      </w:r>
      <w:r w:rsidRPr="00C34E49">
        <w:rPr>
          <w:rFonts w:cs="Arial"/>
          <w:smallCaps/>
          <w:noProof/>
          <w:szCs w:val="22"/>
        </w:rPr>
        <w:t xml:space="preserve"> Neurology, 1996. 47(2): p. 529-34.</w:t>
      </w:r>
      <w:bookmarkEnd w:id="6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7" w:name="_ENREF_5"/>
      <w:r w:rsidRPr="00C34E49">
        <w:rPr>
          <w:rFonts w:cs="Arial"/>
          <w:smallCaps/>
          <w:noProof/>
          <w:szCs w:val="22"/>
        </w:rPr>
        <w:t>5.</w:t>
      </w:r>
      <w:r w:rsidRPr="00C34E49">
        <w:rPr>
          <w:rFonts w:cs="Arial"/>
          <w:smallCaps/>
          <w:noProof/>
          <w:szCs w:val="22"/>
        </w:rPr>
        <w:tab/>
        <w:t xml:space="preserve">Tarnopolsky, M.A. and S. Raha, </w:t>
      </w:r>
      <w:r w:rsidRPr="00C34E49">
        <w:rPr>
          <w:rFonts w:cs="Arial"/>
          <w:i/>
          <w:smallCaps/>
          <w:noProof/>
          <w:szCs w:val="22"/>
        </w:rPr>
        <w:t>Mitochondrial myopathies: diagnosis, exercise intolerance, and treatment options.</w:t>
      </w:r>
      <w:r w:rsidRPr="00C34E49">
        <w:rPr>
          <w:rFonts w:cs="Arial"/>
          <w:smallCaps/>
          <w:noProof/>
          <w:szCs w:val="22"/>
        </w:rPr>
        <w:t xml:space="preserve"> Med Sci Sports Exerc, 2005. 37(12): p. 2086-93.</w:t>
      </w:r>
      <w:bookmarkEnd w:id="7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8" w:name="_ENREF_6"/>
      <w:r w:rsidRPr="00C34E49">
        <w:rPr>
          <w:rFonts w:cs="Arial"/>
          <w:smallCaps/>
          <w:noProof/>
          <w:szCs w:val="22"/>
        </w:rPr>
        <w:t>6.</w:t>
      </w:r>
      <w:r w:rsidRPr="00C34E49">
        <w:rPr>
          <w:rFonts w:cs="Arial"/>
          <w:smallCaps/>
          <w:noProof/>
          <w:szCs w:val="22"/>
        </w:rPr>
        <w:tab/>
        <w:t xml:space="preserve">Tarnopolsky, M., </w:t>
      </w:r>
      <w:r w:rsidRPr="00C34E49">
        <w:rPr>
          <w:rFonts w:cs="Arial"/>
          <w:i/>
          <w:smallCaps/>
          <w:noProof/>
          <w:szCs w:val="22"/>
        </w:rPr>
        <w:t>Exercise testing as a diagnostic entity in mitochondrial myopathies.</w:t>
      </w:r>
      <w:r w:rsidRPr="00C34E49">
        <w:rPr>
          <w:rFonts w:cs="Arial"/>
          <w:smallCaps/>
          <w:noProof/>
          <w:szCs w:val="22"/>
        </w:rPr>
        <w:t xml:space="preserve"> Mitochondrion, 2004. 4(5-6): p. 529-42.</w:t>
      </w:r>
      <w:bookmarkEnd w:id="8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9" w:name="_ENREF_7"/>
      <w:r w:rsidRPr="00C34E49">
        <w:rPr>
          <w:rFonts w:cs="Arial"/>
          <w:smallCaps/>
          <w:noProof/>
          <w:szCs w:val="22"/>
        </w:rPr>
        <w:t>7.</w:t>
      </w:r>
      <w:r w:rsidRPr="00C34E49">
        <w:rPr>
          <w:rFonts w:cs="Arial"/>
          <w:smallCaps/>
          <w:noProof/>
          <w:szCs w:val="22"/>
        </w:rPr>
        <w:tab/>
        <w:t xml:space="preserve">Suomalainen, A., </w:t>
      </w:r>
      <w:r w:rsidRPr="00C34E49">
        <w:rPr>
          <w:rFonts w:cs="Arial"/>
          <w:i/>
          <w:smallCaps/>
          <w:noProof/>
          <w:szCs w:val="22"/>
        </w:rPr>
        <w:t>Biomarkers for mitochondrial respiratory chain disorders.</w:t>
      </w:r>
      <w:r w:rsidRPr="00C34E49">
        <w:rPr>
          <w:rFonts w:cs="Arial"/>
          <w:smallCaps/>
          <w:noProof/>
          <w:szCs w:val="22"/>
        </w:rPr>
        <w:t xml:space="preserve"> J Inherit Metab Dis, 2011. 34(2): p. 277-82.</w:t>
      </w:r>
      <w:bookmarkEnd w:id="9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0" w:name="_ENREF_8"/>
      <w:r w:rsidRPr="00C34E49">
        <w:rPr>
          <w:rFonts w:cs="Arial"/>
          <w:smallCaps/>
          <w:noProof/>
          <w:szCs w:val="22"/>
        </w:rPr>
        <w:t>8.</w:t>
      </w:r>
      <w:r w:rsidRPr="00C34E49">
        <w:rPr>
          <w:rFonts w:cs="Arial"/>
          <w:smallCaps/>
          <w:noProof/>
          <w:szCs w:val="22"/>
        </w:rPr>
        <w:tab/>
        <w:t xml:space="preserve">Haas, R.H., et al., </w:t>
      </w:r>
      <w:r w:rsidRPr="00C34E49">
        <w:rPr>
          <w:rFonts w:cs="Arial"/>
          <w:i/>
          <w:smallCaps/>
          <w:noProof/>
          <w:szCs w:val="22"/>
        </w:rPr>
        <w:t>Mitochondrial disease: a practical approach for primary care physicians.</w:t>
      </w:r>
      <w:r w:rsidRPr="00C34E49">
        <w:rPr>
          <w:rFonts w:cs="Arial"/>
          <w:smallCaps/>
          <w:noProof/>
          <w:szCs w:val="22"/>
        </w:rPr>
        <w:t xml:space="preserve"> Pediatrics, 2007. 120(6): p. 1326-33.</w:t>
      </w:r>
      <w:bookmarkEnd w:id="10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1" w:name="_ENREF_9"/>
      <w:r w:rsidRPr="00C34E49">
        <w:rPr>
          <w:rFonts w:cs="Arial"/>
          <w:smallCaps/>
          <w:noProof/>
          <w:szCs w:val="22"/>
        </w:rPr>
        <w:t>9.</w:t>
      </w:r>
      <w:r w:rsidRPr="00C34E49">
        <w:rPr>
          <w:rFonts w:cs="Arial"/>
          <w:smallCaps/>
          <w:noProof/>
          <w:szCs w:val="22"/>
        </w:rPr>
        <w:tab/>
        <w:t xml:space="preserve">Mancuso, M., et al., </w:t>
      </w:r>
      <w:r w:rsidRPr="00C34E49">
        <w:rPr>
          <w:rFonts w:cs="Arial"/>
          <w:i/>
          <w:smallCaps/>
          <w:noProof/>
          <w:szCs w:val="22"/>
        </w:rPr>
        <w:t>Diagnostic approach to mitochondrial disorders: the need for a reliable biomarker.</w:t>
      </w:r>
      <w:r w:rsidRPr="00C34E49">
        <w:rPr>
          <w:rFonts w:cs="Arial"/>
          <w:smallCaps/>
          <w:noProof/>
          <w:szCs w:val="22"/>
        </w:rPr>
        <w:t xml:space="preserve"> Curr Mol Med, 2009. 9(9): p. 1095-107.</w:t>
      </w:r>
      <w:bookmarkEnd w:id="11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2" w:name="_ENREF_10"/>
      <w:r w:rsidRPr="00C34E49">
        <w:rPr>
          <w:rFonts w:cs="Arial"/>
          <w:smallCaps/>
          <w:noProof/>
          <w:szCs w:val="22"/>
        </w:rPr>
        <w:t>10.</w:t>
      </w:r>
      <w:r w:rsidRPr="00C34E49">
        <w:rPr>
          <w:rFonts w:cs="Arial"/>
          <w:smallCaps/>
          <w:noProof/>
          <w:szCs w:val="22"/>
        </w:rPr>
        <w:tab/>
        <w:t xml:space="preserve">Davis, R.L., et al., </w:t>
      </w:r>
      <w:r w:rsidRPr="00C34E49">
        <w:rPr>
          <w:rFonts w:cs="Arial"/>
          <w:i/>
          <w:smallCaps/>
          <w:noProof/>
          <w:szCs w:val="22"/>
        </w:rPr>
        <w:t>Fibroblast growth factor 21 is a sensitive biomarker of mitochondrial disease.</w:t>
      </w:r>
      <w:r w:rsidRPr="00C34E49">
        <w:rPr>
          <w:rFonts w:cs="Arial"/>
          <w:smallCaps/>
          <w:noProof/>
          <w:szCs w:val="22"/>
        </w:rPr>
        <w:t xml:space="preserve"> Neurology, 2013. 81(21): p. 1819-26.</w:t>
      </w:r>
      <w:bookmarkEnd w:id="12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3" w:name="_ENREF_11"/>
      <w:r w:rsidRPr="00C34E49">
        <w:rPr>
          <w:rFonts w:cs="Arial"/>
          <w:smallCaps/>
          <w:noProof/>
          <w:szCs w:val="22"/>
        </w:rPr>
        <w:t>11.</w:t>
      </w:r>
      <w:r w:rsidRPr="00C34E49">
        <w:rPr>
          <w:rFonts w:cs="Arial"/>
          <w:smallCaps/>
          <w:noProof/>
          <w:szCs w:val="22"/>
        </w:rPr>
        <w:tab/>
        <w:t xml:space="preserve">Atkuri, K.R., et al., </w:t>
      </w:r>
      <w:r w:rsidRPr="00C34E49">
        <w:rPr>
          <w:rFonts w:cs="Arial"/>
          <w:i/>
          <w:smallCaps/>
          <w:noProof/>
          <w:szCs w:val="22"/>
        </w:rPr>
        <w:t>Inherited disorders affecting mitochondrial function are associated with glutathione deficiency and hypocitrullinemia.</w:t>
      </w:r>
      <w:r w:rsidRPr="00C34E49">
        <w:rPr>
          <w:rFonts w:cs="Arial"/>
          <w:smallCaps/>
          <w:noProof/>
          <w:szCs w:val="22"/>
        </w:rPr>
        <w:t xml:space="preserve"> Proc Natl Acad Sci U S A, 2009. 106(10): p. 3941-5.</w:t>
      </w:r>
      <w:bookmarkEnd w:id="13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4" w:name="_ENREF_12"/>
      <w:r w:rsidRPr="00C34E49">
        <w:rPr>
          <w:rFonts w:cs="Arial"/>
          <w:smallCaps/>
          <w:noProof/>
          <w:szCs w:val="22"/>
        </w:rPr>
        <w:t>12.</w:t>
      </w:r>
      <w:r w:rsidRPr="00C34E49">
        <w:rPr>
          <w:rFonts w:cs="Arial"/>
          <w:smallCaps/>
          <w:noProof/>
          <w:szCs w:val="22"/>
        </w:rPr>
        <w:tab/>
        <w:t xml:space="preserve">Longo, N., C. Amat di San Filippo, and M. Pasquali, </w:t>
      </w:r>
      <w:r w:rsidRPr="00C34E49">
        <w:rPr>
          <w:rFonts w:cs="Arial"/>
          <w:i/>
          <w:smallCaps/>
          <w:noProof/>
          <w:szCs w:val="22"/>
        </w:rPr>
        <w:t>Disorders of carnitine transport and the carnitine cycle.</w:t>
      </w:r>
      <w:r w:rsidRPr="00C34E49">
        <w:rPr>
          <w:rFonts w:cs="Arial"/>
          <w:smallCaps/>
          <w:noProof/>
          <w:szCs w:val="22"/>
        </w:rPr>
        <w:t xml:space="preserve"> Am J Med Genet C Semin Med Genet, 2006. 142C(2): p. 77-85.</w:t>
      </w:r>
      <w:bookmarkEnd w:id="14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5" w:name="_ENREF_13"/>
      <w:r w:rsidRPr="00C34E49">
        <w:rPr>
          <w:rFonts w:cs="Arial"/>
          <w:smallCaps/>
          <w:noProof/>
          <w:szCs w:val="22"/>
        </w:rPr>
        <w:t>13.</w:t>
      </w:r>
      <w:r w:rsidRPr="00C34E49">
        <w:rPr>
          <w:rFonts w:cs="Arial"/>
          <w:smallCaps/>
          <w:noProof/>
          <w:szCs w:val="22"/>
        </w:rPr>
        <w:tab/>
        <w:t xml:space="preserve">Shaham, O., et al., </w:t>
      </w:r>
      <w:r w:rsidRPr="00C34E49">
        <w:rPr>
          <w:rFonts w:cs="Arial"/>
          <w:i/>
          <w:smallCaps/>
          <w:noProof/>
          <w:szCs w:val="22"/>
        </w:rPr>
        <w:t>A plasma signature of human mitochondrial disease revealed through metabolic profiling of spent media from cultured muscle cells.</w:t>
      </w:r>
      <w:r w:rsidRPr="00C34E49">
        <w:rPr>
          <w:rFonts w:cs="Arial"/>
          <w:smallCaps/>
          <w:noProof/>
          <w:szCs w:val="22"/>
        </w:rPr>
        <w:t xml:space="preserve"> Proc Natl Acad Sci U S A, 2010. 107(4): p. 1571-5.</w:t>
      </w:r>
      <w:bookmarkEnd w:id="15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6" w:name="_ENREF_14"/>
      <w:r w:rsidRPr="00C34E49">
        <w:rPr>
          <w:rFonts w:cs="Arial"/>
          <w:smallCaps/>
          <w:noProof/>
          <w:szCs w:val="22"/>
        </w:rPr>
        <w:t>14.</w:t>
      </w:r>
      <w:r w:rsidRPr="00C34E49">
        <w:rPr>
          <w:rFonts w:cs="Arial"/>
          <w:smallCaps/>
          <w:noProof/>
          <w:szCs w:val="22"/>
        </w:rPr>
        <w:tab/>
        <w:t xml:space="preserve">Frye, R.E., et al., </w:t>
      </w:r>
      <w:r w:rsidRPr="00C34E49">
        <w:rPr>
          <w:rFonts w:cs="Arial"/>
          <w:i/>
          <w:smallCaps/>
          <w:noProof/>
          <w:szCs w:val="22"/>
        </w:rPr>
        <w:t>Redox metabolism abnormalities in autistic children associated with mitochondrial disease.</w:t>
      </w:r>
      <w:r w:rsidRPr="00C34E49">
        <w:rPr>
          <w:rFonts w:cs="Arial"/>
          <w:smallCaps/>
          <w:noProof/>
          <w:szCs w:val="22"/>
        </w:rPr>
        <w:t xml:space="preserve"> Transl Psychiatry, 2013. 3: p. e273.</w:t>
      </w:r>
      <w:bookmarkEnd w:id="16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7" w:name="_ENREF_15"/>
      <w:r w:rsidRPr="00C34E49">
        <w:rPr>
          <w:rFonts w:cs="Arial"/>
          <w:smallCaps/>
          <w:noProof/>
          <w:szCs w:val="22"/>
        </w:rPr>
        <w:t>15.</w:t>
      </w:r>
      <w:r w:rsidRPr="00C34E49">
        <w:rPr>
          <w:rFonts w:cs="Arial"/>
          <w:smallCaps/>
          <w:noProof/>
          <w:szCs w:val="22"/>
        </w:rPr>
        <w:tab/>
        <w:t xml:space="preserve">Ribas, V., C. Garcia-Ruiz, and J.C. Fernandez-Checa, </w:t>
      </w:r>
      <w:r w:rsidRPr="00C34E49">
        <w:rPr>
          <w:rFonts w:cs="Arial"/>
          <w:i/>
          <w:smallCaps/>
          <w:noProof/>
          <w:szCs w:val="22"/>
        </w:rPr>
        <w:t>Glutathione and mitochondria.</w:t>
      </w:r>
      <w:r w:rsidRPr="00C34E49">
        <w:rPr>
          <w:rFonts w:cs="Arial"/>
          <w:smallCaps/>
          <w:noProof/>
          <w:szCs w:val="22"/>
        </w:rPr>
        <w:t xml:space="preserve"> Front Pharmacol, 2014. 5: p. 151.</w:t>
      </w:r>
      <w:bookmarkEnd w:id="17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8" w:name="_ENREF_16"/>
      <w:r w:rsidRPr="00C34E49">
        <w:rPr>
          <w:rFonts w:cs="Arial"/>
          <w:smallCaps/>
          <w:noProof/>
          <w:szCs w:val="22"/>
        </w:rPr>
        <w:t>16.</w:t>
      </w:r>
      <w:r w:rsidRPr="00C34E49">
        <w:rPr>
          <w:rFonts w:cs="Arial"/>
          <w:smallCaps/>
          <w:noProof/>
          <w:szCs w:val="22"/>
        </w:rPr>
        <w:tab/>
        <w:t xml:space="preserve">Chau, M.D., et al., </w:t>
      </w:r>
      <w:r w:rsidRPr="00C34E49">
        <w:rPr>
          <w:rFonts w:cs="Arial"/>
          <w:i/>
          <w:smallCaps/>
          <w:noProof/>
          <w:szCs w:val="22"/>
        </w:rPr>
        <w:t>Fibroblast growth factor 21 regulates energy metabolism by activating the AMPK-SIRT1-PGC-1alpha pathway.</w:t>
      </w:r>
      <w:r w:rsidRPr="00C34E49">
        <w:rPr>
          <w:rFonts w:cs="Arial"/>
          <w:smallCaps/>
          <w:noProof/>
          <w:szCs w:val="22"/>
        </w:rPr>
        <w:t xml:space="preserve"> Proc Natl Acad Sci U S A, 2010. 107(28): p. 12553-8.</w:t>
      </w:r>
      <w:bookmarkEnd w:id="18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9" w:name="_ENREF_17"/>
      <w:r w:rsidRPr="00C34E49">
        <w:rPr>
          <w:rFonts w:cs="Arial"/>
          <w:smallCaps/>
          <w:noProof/>
          <w:szCs w:val="22"/>
        </w:rPr>
        <w:t>17.</w:t>
      </w:r>
      <w:r w:rsidRPr="00C34E49">
        <w:rPr>
          <w:rFonts w:cs="Arial"/>
          <w:smallCaps/>
          <w:noProof/>
          <w:szCs w:val="22"/>
        </w:rPr>
        <w:tab/>
        <w:t xml:space="preserve">Gavrilova, R. and R. Horvath, </w:t>
      </w:r>
      <w:r w:rsidRPr="00C34E49">
        <w:rPr>
          <w:rFonts w:cs="Arial"/>
          <w:i/>
          <w:smallCaps/>
          <w:noProof/>
          <w:szCs w:val="22"/>
        </w:rPr>
        <w:t>Fibroblast growth factor 21, a biomarker for mitochondrial muscle disease.</w:t>
      </w:r>
      <w:r w:rsidRPr="00C34E49">
        <w:rPr>
          <w:rFonts w:cs="Arial"/>
          <w:smallCaps/>
          <w:noProof/>
          <w:szCs w:val="22"/>
        </w:rPr>
        <w:t xml:space="preserve"> Neurology, 2013. 81(21): p. 1808-9.</w:t>
      </w:r>
      <w:bookmarkEnd w:id="19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20" w:name="_ENREF_18"/>
      <w:r w:rsidRPr="00C34E49">
        <w:rPr>
          <w:rFonts w:cs="Arial"/>
          <w:smallCaps/>
          <w:noProof/>
          <w:szCs w:val="22"/>
        </w:rPr>
        <w:t>18.</w:t>
      </w:r>
      <w:r w:rsidRPr="00C34E49">
        <w:rPr>
          <w:rFonts w:cs="Arial"/>
          <w:smallCaps/>
          <w:noProof/>
          <w:szCs w:val="22"/>
        </w:rPr>
        <w:tab/>
        <w:t xml:space="preserve">Liang, C., K. Ahmad, and C.M. Sue, </w:t>
      </w:r>
      <w:r w:rsidRPr="00C34E49">
        <w:rPr>
          <w:rFonts w:cs="Arial"/>
          <w:i/>
          <w:smallCaps/>
          <w:noProof/>
          <w:szCs w:val="22"/>
        </w:rPr>
        <w:t>The broadening spectrum of mitochondrial disease: Shifts in the diagnostic paradigm.</w:t>
      </w:r>
      <w:r w:rsidRPr="00C34E49">
        <w:rPr>
          <w:rFonts w:cs="Arial"/>
          <w:smallCaps/>
          <w:noProof/>
          <w:szCs w:val="22"/>
        </w:rPr>
        <w:t xml:space="preserve"> Biochim Biophys Acta, 2014. 1840(4): p. 1360-1367.</w:t>
      </w:r>
      <w:bookmarkEnd w:id="20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21" w:name="_ENREF_19"/>
      <w:r w:rsidRPr="00C34E49">
        <w:rPr>
          <w:rFonts w:cs="Arial"/>
          <w:smallCaps/>
          <w:noProof/>
          <w:szCs w:val="22"/>
        </w:rPr>
        <w:t>19.</w:t>
      </w:r>
      <w:r w:rsidRPr="00C34E49">
        <w:rPr>
          <w:rFonts w:cs="Arial"/>
          <w:smallCaps/>
          <w:noProof/>
          <w:szCs w:val="22"/>
        </w:rPr>
        <w:tab/>
        <w:t xml:space="preserve">Su, S.L., et al., </w:t>
      </w:r>
      <w:r w:rsidRPr="00C34E49">
        <w:rPr>
          <w:rFonts w:cs="Arial"/>
          <w:i/>
          <w:smallCaps/>
          <w:noProof/>
          <w:szCs w:val="22"/>
        </w:rPr>
        <w:t>FGF21 in ataxia patients with spinocerebellar atrophy and mitochondrial disease.</w:t>
      </w:r>
      <w:r w:rsidRPr="00C34E49">
        <w:rPr>
          <w:rFonts w:cs="Arial"/>
          <w:smallCaps/>
          <w:noProof/>
          <w:szCs w:val="22"/>
        </w:rPr>
        <w:t xml:space="preserve"> Clin Chim Acta, 2012. 414: p. 225-7.</w:t>
      </w:r>
      <w:bookmarkEnd w:id="21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22" w:name="_ENREF_20"/>
      <w:r w:rsidRPr="00C34E49">
        <w:rPr>
          <w:rFonts w:cs="Arial"/>
          <w:smallCaps/>
          <w:noProof/>
          <w:szCs w:val="22"/>
        </w:rPr>
        <w:t>20.</w:t>
      </w:r>
      <w:r w:rsidRPr="00C34E49">
        <w:rPr>
          <w:rFonts w:cs="Arial"/>
          <w:smallCaps/>
          <w:noProof/>
          <w:szCs w:val="22"/>
        </w:rPr>
        <w:tab/>
        <w:t xml:space="preserve">Suomalainen, A., </w:t>
      </w:r>
      <w:r w:rsidRPr="00C34E49">
        <w:rPr>
          <w:rFonts w:cs="Arial"/>
          <w:i/>
          <w:smallCaps/>
          <w:noProof/>
          <w:szCs w:val="22"/>
        </w:rPr>
        <w:t>Fibroblast growth factor 21: a novel biomarker for human muscle-manifesting mitochondrial disorders.</w:t>
      </w:r>
      <w:r w:rsidRPr="00C34E49">
        <w:rPr>
          <w:rFonts w:cs="Arial"/>
          <w:smallCaps/>
          <w:noProof/>
          <w:szCs w:val="22"/>
        </w:rPr>
        <w:t xml:space="preserve"> Expert Opin Med Diagn, 2013. 7(4): p. 313-7.</w:t>
      </w:r>
      <w:bookmarkEnd w:id="22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23" w:name="_ENREF_21"/>
      <w:r w:rsidRPr="00C34E49">
        <w:rPr>
          <w:rFonts w:cs="Arial"/>
          <w:smallCaps/>
          <w:noProof/>
          <w:szCs w:val="22"/>
        </w:rPr>
        <w:t>21.</w:t>
      </w:r>
      <w:r w:rsidRPr="00C34E49">
        <w:rPr>
          <w:rFonts w:cs="Arial"/>
          <w:smallCaps/>
          <w:noProof/>
          <w:szCs w:val="22"/>
        </w:rPr>
        <w:tab/>
        <w:t xml:space="preserve">Suomalainen, A., et al., </w:t>
      </w:r>
      <w:r w:rsidRPr="00C34E49">
        <w:rPr>
          <w:rFonts w:cs="Arial"/>
          <w:i/>
          <w:smallCaps/>
          <w:noProof/>
          <w:szCs w:val="22"/>
        </w:rPr>
        <w:t>FGF-21 as a biomarker for muscle-manifesting mitochondrial respiratory chain deficiencies: a diagnostic study.</w:t>
      </w:r>
      <w:r w:rsidRPr="00C34E49">
        <w:rPr>
          <w:rFonts w:cs="Arial"/>
          <w:smallCaps/>
          <w:noProof/>
          <w:szCs w:val="22"/>
        </w:rPr>
        <w:t xml:space="preserve"> Lancet Neurol, 2011. 10(9): p. 806-18.</w:t>
      </w:r>
      <w:bookmarkEnd w:id="23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24" w:name="_ENREF_22"/>
      <w:r w:rsidRPr="00C34E49">
        <w:rPr>
          <w:rFonts w:cs="Arial"/>
          <w:smallCaps/>
          <w:noProof/>
          <w:szCs w:val="22"/>
        </w:rPr>
        <w:t>22.</w:t>
      </w:r>
      <w:r w:rsidRPr="00C34E49">
        <w:rPr>
          <w:rFonts w:cs="Arial"/>
          <w:smallCaps/>
          <w:noProof/>
          <w:szCs w:val="22"/>
        </w:rPr>
        <w:tab/>
        <w:t xml:space="preserve">Turnbull, D., </w:t>
      </w:r>
      <w:r w:rsidRPr="00C34E49">
        <w:rPr>
          <w:rFonts w:cs="Arial"/>
          <w:i/>
          <w:smallCaps/>
          <w:noProof/>
          <w:szCs w:val="22"/>
        </w:rPr>
        <w:t>A new biomarker for mitochondrial disease.</w:t>
      </w:r>
      <w:r w:rsidRPr="00C34E49">
        <w:rPr>
          <w:rFonts w:cs="Arial"/>
          <w:smallCaps/>
          <w:noProof/>
          <w:szCs w:val="22"/>
        </w:rPr>
        <w:t xml:space="preserve"> Lancet Neurol, 2011. 10(9): p. 777-8.</w:t>
      </w:r>
      <w:bookmarkEnd w:id="24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25" w:name="_ENREF_23"/>
      <w:r w:rsidRPr="00C34E49">
        <w:rPr>
          <w:rFonts w:cs="Arial"/>
          <w:smallCaps/>
          <w:noProof/>
          <w:szCs w:val="22"/>
        </w:rPr>
        <w:t>23.</w:t>
      </w:r>
      <w:r w:rsidRPr="00C34E49">
        <w:rPr>
          <w:rFonts w:cs="Arial"/>
          <w:smallCaps/>
          <w:noProof/>
          <w:szCs w:val="22"/>
        </w:rPr>
        <w:tab/>
        <w:t xml:space="preserve">Tyynismaa, H., et al., </w:t>
      </w:r>
      <w:r w:rsidRPr="00C34E49">
        <w:rPr>
          <w:rFonts w:cs="Arial"/>
          <w:i/>
          <w:smallCaps/>
          <w:noProof/>
          <w:szCs w:val="22"/>
        </w:rPr>
        <w:t>Mitochondrial myopathy induces a starvation-like response.</w:t>
      </w:r>
      <w:r w:rsidRPr="00C34E49">
        <w:rPr>
          <w:rFonts w:cs="Arial"/>
          <w:smallCaps/>
          <w:noProof/>
          <w:szCs w:val="22"/>
        </w:rPr>
        <w:t xml:space="preserve"> Hum Mol Genet, 2010. 19(20): p. 3948-58.</w:t>
      </w:r>
      <w:bookmarkEnd w:id="25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26" w:name="_ENREF_24"/>
      <w:r w:rsidRPr="00C34E49">
        <w:rPr>
          <w:rFonts w:cs="Arial"/>
          <w:smallCaps/>
          <w:noProof/>
          <w:szCs w:val="22"/>
        </w:rPr>
        <w:lastRenderedPageBreak/>
        <w:t>24.</w:t>
      </w:r>
      <w:r w:rsidRPr="00C34E49">
        <w:rPr>
          <w:rFonts w:cs="Arial"/>
          <w:smallCaps/>
          <w:noProof/>
          <w:szCs w:val="22"/>
        </w:rPr>
        <w:tab/>
        <w:t xml:space="preserve">Valentino, M.L., et al., </w:t>
      </w:r>
      <w:r w:rsidRPr="00C34E49">
        <w:rPr>
          <w:rFonts w:cs="Arial"/>
          <w:i/>
          <w:smallCaps/>
          <w:noProof/>
          <w:szCs w:val="22"/>
        </w:rPr>
        <w:t>Thymidine and deoxyuridine accumulate in tissues of patients with mitochondrial neurogastrointestinal encephalomyopathy (MNGIE).</w:t>
      </w:r>
      <w:r w:rsidRPr="00C34E49">
        <w:rPr>
          <w:rFonts w:cs="Arial"/>
          <w:smallCaps/>
          <w:noProof/>
          <w:szCs w:val="22"/>
        </w:rPr>
        <w:t xml:space="preserve"> FEBS Lett, 2007. 581(18): p. 3410-4.</w:t>
      </w:r>
      <w:bookmarkEnd w:id="26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27" w:name="_ENREF_25"/>
      <w:r w:rsidRPr="00C34E49">
        <w:rPr>
          <w:rFonts w:cs="Arial"/>
          <w:smallCaps/>
          <w:noProof/>
          <w:szCs w:val="22"/>
        </w:rPr>
        <w:t>25.</w:t>
      </w:r>
      <w:r w:rsidRPr="00C34E49">
        <w:rPr>
          <w:rFonts w:cs="Arial"/>
          <w:smallCaps/>
          <w:noProof/>
          <w:szCs w:val="22"/>
        </w:rPr>
        <w:tab/>
        <w:t xml:space="preserve">Lara, M.C., et al., </w:t>
      </w:r>
      <w:r w:rsidRPr="00C34E49">
        <w:rPr>
          <w:rFonts w:cs="Arial"/>
          <w:i/>
          <w:smallCaps/>
          <w:noProof/>
          <w:szCs w:val="22"/>
        </w:rPr>
        <w:t>Mitochondrial neurogastrointestinal encephalomyopathy (MNGIE): biochemical features and therapeutic approaches.</w:t>
      </w:r>
      <w:r w:rsidRPr="00C34E49">
        <w:rPr>
          <w:rFonts w:cs="Arial"/>
          <w:smallCaps/>
          <w:noProof/>
          <w:szCs w:val="22"/>
        </w:rPr>
        <w:t xml:space="preserve"> Biosci Rep, 2007. 27(1-3): p. 151-63.</w:t>
      </w:r>
      <w:bookmarkEnd w:id="27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28" w:name="_ENREF_26"/>
      <w:r w:rsidRPr="00C34E49">
        <w:rPr>
          <w:rFonts w:cs="Arial"/>
          <w:smallCaps/>
          <w:noProof/>
          <w:szCs w:val="22"/>
        </w:rPr>
        <w:t>26.</w:t>
      </w:r>
      <w:r w:rsidRPr="00C34E49">
        <w:rPr>
          <w:rFonts w:cs="Arial"/>
          <w:smallCaps/>
          <w:noProof/>
          <w:szCs w:val="22"/>
        </w:rPr>
        <w:tab/>
        <w:t xml:space="preserve">Barshop, B.A., </w:t>
      </w:r>
      <w:r w:rsidRPr="00C34E49">
        <w:rPr>
          <w:rFonts w:cs="Arial"/>
          <w:i/>
          <w:smallCaps/>
          <w:noProof/>
          <w:szCs w:val="22"/>
        </w:rPr>
        <w:t>Metabolomic approaches to mitochondrial disease: correlation of urine organic acids.</w:t>
      </w:r>
      <w:r w:rsidRPr="00C34E49">
        <w:rPr>
          <w:rFonts w:cs="Arial"/>
          <w:smallCaps/>
          <w:noProof/>
          <w:szCs w:val="22"/>
        </w:rPr>
        <w:t xml:space="preserve"> Mitochondrion, 2004. 4(5-6): p. 521-7.</w:t>
      </w:r>
      <w:bookmarkEnd w:id="28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29" w:name="_ENREF_27"/>
      <w:r w:rsidRPr="00C34E49">
        <w:rPr>
          <w:rFonts w:cs="Arial"/>
          <w:smallCaps/>
          <w:noProof/>
          <w:szCs w:val="22"/>
        </w:rPr>
        <w:t>27.</w:t>
      </w:r>
      <w:r w:rsidRPr="00C34E49">
        <w:rPr>
          <w:rFonts w:cs="Arial"/>
          <w:smallCaps/>
          <w:noProof/>
          <w:szCs w:val="22"/>
        </w:rPr>
        <w:tab/>
        <w:t xml:space="preserve">Wortmann, S., et al., </w:t>
      </w:r>
      <w:r w:rsidRPr="00C34E49">
        <w:rPr>
          <w:rFonts w:cs="Arial"/>
          <w:i/>
          <w:smallCaps/>
          <w:noProof/>
          <w:szCs w:val="22"/>
        </w:rPr>
        <w:t>Association of 3-methylglutaconic aciduria with sensori-neural deafness, encephalopathy, and Leigh-like syndrome (MEGDEL association) in four patients with a disorder of the oxidative phosphorylation.</w:t>
      </w:r>
      <w:r w:rsidRPr="00C34E49">
        <w:rPr>
          <w:rFonts w:cs="Arial"/>
          <w:smallCaps/>
          <w:noProof/>
          <w:szCs w:val="22"/>
        </w:rPr>
        <w:t xml:space="preserve"> Mol Genet Metab, 2006. 88(1): p. 47-52.</w:t>
      </w:r>
      <w:bookmarkEnd w:id="29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30" w:name="_ENREF_28"/>
      <w:r w:rsidRPr="00C34E49">
        <w:rPr>
          <w:rFonts w:cs="Arial"/>
          <w:smallCaps/>
          <w:noProof/>
          <w:szCs w:val="22"/>
        </w:rPr>
        <w:t>28.</w:t>
      </w:r>
      <w:r w:rsidRPr="00C34E49">
        <w:rPr>
          <w:rFonts w:cs="Arial"/>
          <w:smallCaps/>
          <w:noProof/>
          <w:szCs w:val="22"/>
        </w:rPr>
        <w:tab/>
        <w:t xml:space="preserve">Wortmann, S.B., et al., </w:t>
      </w:r>
      <w:r w:rsidRPr="00C34E49">
        <w:rPr>
          <w:rFonts w:cs="Arial"/>
          <w:i/>
          <w:smallCaps/>
          <w:noProof/>
          <w:szCs w:val="22"/>
        </w:rPr>
        <w:t>Biochemical and genetic analysis of 3-methylglutaconic aciduria type IV: a diagnostic strategy.</w:t>
      </w:r>
      <w:r w:rsidRPr="00C34E49">
        <w:rPr>
          <w:rFonts w:cs="Arial"/>
          <w:smallCaps/>
          <w:noProof/>
          <w:szCs w:val="22"/>
        </w:rPr>
        <w:t xml:space="preserve"> Brain, 2009. 132(Pt 1): p. 136-46.</w:t>
      </w:r>
      <w:bookmarkEnd w:id="30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31" w:name="_ENREF_29"/>
      <w:r w:rsidRPr="00C34E49">
        <w:rPr>
          <w:rFonts w:cs="Arial"/>
          <w:smallCaps/>
          <w:noProof/>
          <w:szCs w:val="22"/>
        </w:rPr>
        <w:t>29.</w:t>
      </w:r>
      <w:r w:rsidRPr="00C34E49">
        <w:rPr>
          <w:rFonts w:cs="Arial"/>
          <w:smallCaps/>
          <w:noProof/>
          <w:szCs w:val="22"/>
        </w:rPr>
        <w:tab/>
        <w:t xml:space="preserve">Benoist, J.F., et al., </w:t>
      </w:r>
      <w:r w:rsidRPr="00C34E49">
        <w:rPr>
          <w:rFonts w:cs="Arial"/>
          <w:i/>
          <w:smallCaps/>
          <w:noProof/>
          <w:szCs w:val="22"/>
        </w:rPr>
        <w:t>Cerebrospinal fluid lactate and pyruvate concentrations and their ratio in children: age-related reference intervals.</w:t>
      </w:r>
      <w:r w:rsidRPr="00C34E49">
        <w:rPr>
          <w:rFonts w:cs="Arial"/>
          <w:smallCaps/>
          <w:noProof/>
          <w:szCs w:val="22"/>
        </w:rPr>
        <w:t xml:space="preserve"> Clin Chem, 2003. 49(3): p. 487-94.</w:t>
      </w:r>
      <w:bookmarkEnd w:id="31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32" w:name="_ENREF_30"/>
      <w:r w:rsidRPr="00C34E49">
        <w:rPr>
          <w:rFonts w:cs="Arial"/>
          <w:smallCaps/>
          <w:noProof/>
          <w:szCs w:val="22"/>
        </w:rPr>
        <w:t>30.</w:t>
      </w:r>
      <w:r w:rsidRPr="00C34E49">
        <w:rPr>
          <w:rFonts w:cs="Arial"/>
          <w:smallCaps/>
          <w:noProof/>
          <w:szCs w:val="22"/>
        </w:rPr>
        <w:tab/>
        <w:t xml:space="preserve">Leen, W.G., et al., </w:t>
      </w:r>
      <w:r w:rsidRPr="00C34E49">
        <w:rPr>
          <w:rFonts w:cs="Arial"/>
          <w:i/>
          <w:smallCaps/>
          <w:noProof/>
          <w:szCs w:val="22"/>
        </w:rPr>
        <w:t>Cerebrospinal fluid analysis in the workup of GLUT1 deficiency syndrome: a systematic review.</w:t>
      </w:r>
      <w:r w:rsidRPr="00C34E49">
        <w:rPr>
          <w:rFonts w:cs="Arial"/>
          <w:smallCaps/>
          <w:noProof/>
          <w:szCs w:val="22"/>
        </w:rPr>
        <w:t xml:space="preserve"> JAMA Neurol, 2013. 70(11): p. 1440-4.</w:t>
      </w:r>
      <w:bookmarkEnd w:id="32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33" w:name="_ENREF_31"/>
      <w:r w:rsidRPr="00C34E49">
        <w:rPr>
          <w:rFonts w:cs="Arial"/>
          <w:smallCaps/>
          <w:noProof/>
          <w:szCs w:val="22"/>
        </w:rPr>
        <w:t>31.</w:t>
      </w:r>
      <w:r w:rsidRPr="00C34E49">
        <w:rPr>
          <w:rFonts w:cs="Arial"/>
          <w:smallCaps/>
          <w:noProof/>
          <w:szCs w:val="22"/>
        </w:rPr>
        <w:tab/>
        <w:t xml:space="preserve">Cameron, J.M., et al., </w:t>
      </w:r>
      <w:r w:rsidRPr="00C34E49">
        <w:rPr>
          <w:rFonts w:cs="Arial"/>
          <w:i/>
          <w:smallCaps/>
          <w:noProof/>
          <w:szCs w:val="22"/>
        </w:rPr>
        <w:t>Respiratory chain analysis of skin fibroblasts in mitochondrial disease.</w:t>
      </w:r>
      <w:r w:rsidRPr="00C34E49">
        <w:rPr>
          <w:rFonts w:cs="Arial"/>
          <w:smallCaps/>
          <w:noProof/>
          <w:szCs w:val="22"/>
        </w:rPr>
        <w:t xml:space="preserve"> Mitochondrion, 2004. 4(5-6): p. 387-94.</w:t>
      </w:r>
      <w:bookmarkEnd w:id="33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34" w:name="_ENREF_32"/>
      <w:r w:rsidRPr="00C34E49">
        <w:rPr>
          <w:rFonts w:cs="Arial"/>
          <w:smallCaps/>
          <w:noProof/>
          <w:szCs w:val="22"/>
        </w:rPr>
        <w:t>32.</w:t>
      </w:r>
      <w:r w:rsidRPr="00C34E49">
        <w:rPr>
          <w:rFonts w:cs="Arial"/>
          <w:smallCaps/>
          <w:noProof/>
          <w:szCs w:val="22"/>
        </w:rPr>
        <w:tab/>
        <w:t xml:space="preserve">van den Heuvel, L.P., J.A. Smeitink, and R.J. Rodenburg, </w:t>
      </w:r>
      <w:r w:rsidRPr="00C34E49">
        <w:rPr>
          <w:rFonts w:cs="Arial"/>
          <w:i/>
          <w:smallCaps/>
          <w:noProof/>
          <w:szCs w:val="22"/>
        </w:rPr>
        <w:t>Biochemical examination of fibroblasts in the diagnosis and research of oxidative phosphorylation (OXPHOS) defects.</w:t>
      </w:r>
      <w:r w:rsidRPr="00C34E49">
        <w:rPr>
          <w:rFonts w:cs="Arial"/>
          <w:smallCaps/>
          <w:noProof/>
          <w:szCs w:val="22"/>
        </w:rPr>
        <w:t xml:space="preserve"> Mitochondrion, 2004. 4(5-6): p. 395-401.</w:t>
      </w:r>
      <w:bookmarkEnd w:id="34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35" w:name="_ENREF_33"/>
      <w:r w:rsidRPr="00C34E49">
        <w:rPr>
          <w:rFonts w:cs="Arial"/>
          <w:smallCaps/>
          <w:noProof/>
          <w:szCs w:val="22"/>
        </w:rPr>
        <w:t>33.</w:t>
      </w:r>
      <w:r w:rsidRPr="00C34E49">
        <w:rPr>
          <w:rFonts w:cs="Arial"/>
          <w:smallCaps/>
          <w:noProof/>
          <w:szCs w:val="22"/>
        </w:rPr>
        <w:tab/>
        <w:t xml:space="preserve">Cameron, J.M., et al., </w:t>
      </w:r>
      <w:r w:rsidRPr="00C34E49">
        <w:rPr>
          <w:rFonts w:cs="Arial"/>
          <w:i/>
          <w:smallCaps/>
          <w:noProof/>
          <w:szCs w:val="22"/>
        </w:rPr>
        <w:t>Deficiency of pyruvate dehydrogenase caused by novel and known mutations in the E1alpha subunit.</w:t>
      </w:r>
      <w:r w:rsidRPr="00C34E49">
        <w:rPr>
          <w:rFonts w:cs="Arial"/>
          <w:smallCaps/>
          <w:noProof/>
          <w:szCs w:val="22"/>
        </w:rPr>
        <w:t xml:space="preserve"> Am J Med Genet A, 2004. 131(1): p. 59-66.</w:t>
      </w:r>
      <w:bookmarkEnd w:id="35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36" w:name="_ENREF_34"/>
      <w:r w:rsidRPr="00C34E49">
        <w:rPr>
          <w:rFonts w:cs="Arial"/>
          <w:smallCaps/>
          <w:noProof/>
          <w:szCs w:val="22"/>
        </w:rPr>
        <w:t>34.</w:t>
      </w:r>
      <w:r w:rsidRPr="00C34E49">
        <w:rPr>
          <w:rFonts w:cs="Arial"/>
          <w:smallCaps/>
          <w:noProof/>
          <w:szCs w:val="22"/>
        </w:rPr>
        <w:tab/>
        <w:t xml:space="preserve">Schwab, M.A., et al., </w:t>
      </w:r>
      <w:r w:rsidRPr="00C34E49">
        <w:rPr>
          <w:rFonts w:cs="Arial"/>
          <w:i/>
          <w:smallCaps/>
          <w:noProof/>
          <w:szCs w:val="22"/>
        </w:rPr>
        <w:t>Optimized spectrophotometric assay for the completely activated pyruvate dehydrogenase complex in fibroblasts.</w:t>
      </w:r>
      <w:r w:rsidRPr="00C34E49">
        <w:rPr>
          <w:rFonts w:cs="Arial"/>
          <w:smallCaps/>
          <w:noProof/>
          <w:szCs w:val="22"/>
        </w:rPr>
        <w:t xml:space="preserve"> Clin Chem, 2005. 51(1): p. 151-60.</w:t>
      </w:r>
      <w:bookmarkEnd w:id="36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37" w:name="_ENREF_35"/>
      <w:r w:rsidRPr="00C34E49">
        <w:rPr>
          <w:rFonts w:cs="Arial"/>
          <w:smallCaps/>
          <w:noProof/>
          <w:szCs w:val="22"/>
        </w:rPr>
        <w:t>35.</w:t>
      </w:r>
      <w:r w:rsidRPr="00C34E49">
        <w:rPr>
          <w:rFonts w:cs="Arial"/>
          <w:smallCaps/>
          <w:noProof/>
          <w:szCs w:val="22"/>
        </w:rPr>
        <w:tab/>
        <w:t xml:space="preserve">Capaldi, R.A., et al., </w:t>
      </w:r>
      <w:r w:rsidRPr="00C34E49">
        <w:rPr>
          <w:rFonts w:cs="Arial"/>
          <w:i/>
          <w:smallCaps/>
          <w:noProof/>
          <w:szCs w:val="22"/>
        </w:rPr>
        <w:t>Immunological approaches to the characterization and diagnosis of mitochondrial disease.</w:t>
      </w:r>
      <w:r w:rsidRPr="00C34E49">
        <w:rPr>
          <w:rFonts w:cs="Arial"/>
          <w:smallCaps/>
          <w:noProof/>
          <w:szCs w:val="22"/>
        </w:rPr>
        <w:t xml:space="preserve"> Mitochondrion, 2004. 4(5-6): p. 417-26.</w:t>
      </w:r>
      <w:bookmarkEnd w:id="37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38" w:name="_ENREF_36"/>
      <w:r w:rsidRPr="00C34E49">
        <w:rPr>
          <w:rFonts w:cs="Arial"/>
          <w:smallCaps/>
          <w:noProof/>
          <w:szCs w:val="22"/>
        </w:rPr>
        <w:t>36.</w:t>
      </w:r>
      <w:r w:rsidRPr="00C34E49">
        <w:rPr>
          <w:rFonts w:cs="Arial"/>
          <w:smallCaps/>
          <w:noProof/>
          <w:szCs w:val="22"/>
        </w:rPr>
        <w:tab/>
        <w:t xml:space="preserve">Shepherd, R.K., et al., </w:t>
      </w:r>
      <w:r w:rsidRPr="00C34E49">
        <w:rPr>
          <w:rFonts w:cs="Arial"/>
          <w:i/>
          <w:smallCaps/>
          <w:noProof/>
          <w:szCs w:val="22"/>
        </w:rPr>
        <w:t>Measurement of ATP production in mitochondrial disorders.</w:t>
      </w:r>
      <w:r w:rsidRPr="00C34E49">
        <w:rPr>
          <w:rFonts w:cs="Arial"/>
          <w:smallCaps/>
          <w:noProof/>
          <w:szCs w:val="22"/>
        </w:rPr>
        <w:t xml:space="preserve"> J Inherit Metab Dis, 2006. 29(1): p. 86-91.</w:t>
      </w:r>
      <w:bookmarkEnd w:id="38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39" w:name="_ENREF_37"/>
      <w:r w:rsidRPr="00C34E49">
        <w:rPr>
          <w:rFonts w:cs="Arial"/>
          <w:smallCaps/>
          <w:noProof/>
          <w:szCs w:val="22"/>
        </w:rPr>
        <w:t>37.</w:t>
      </w:r>
      <w:r w:rsidRPr="00C34E49">
        <w:rPr>
          <w:rFonts w:cs="Arial"/>
          <w:smallCaps/>
          <w:noProof/>
          <w:szCs w:val="22"/>
        </w:rPr>
        <w:tab/>
        <w:t xml:space="preserve">de Paepe, B., et al., </w:t>
      </w:r>
      <w:r w:rsidRPr="00C34E49">
        <w:rPr>
          <w:rFonts w:cs="Arial"/>
          <w:i/>
          <w:smallCaps/>
          <w:noProof/>
          <w:szCs w:val="22"/>
        </w:rPr>
        <w:t>Diagnostic value of immunostaining in cultured skin fibroblasts from patients with oxidative phosphorylation defects.</w:t>
      </w:r>
      <w:r w:rsidRPr="00C34E49">
        <w:rPr>
          <w:rFonts w:cs="Arial"/>
          <w:smallCaps/>
          <w:noProof/>
          <w:szCs w:val="22"/>
        </w:rPr>
        <w:t xml:space="preserve"> Pediatr Res, 2006. 59(1): p. 2-6.</w:t>
      </w:r>
      <w:bookmarkEnd w:id="39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40" w:name="_ENREF_38"/>
      <w:r w:rsidRPr="00C34E49">
        <w:rPr>
          <w:rFonts w:cs="Arial"/>
          <w:smallCaps/>
          <w:noProof/>
          <w:szCs w:val="22"/>
        </w:rPr>
        <w:t>38.</w:t>
      </w:r>
      <w:r w:rsidRPr="00C34E49">
        <w:rPr>
          <w:rFonts w:cs="Arial"/>
          <w:smallCaps/>
          <w:noProof/>
          <w:szCs w:val="22"/>
        </w:rPr>
        <w:tab/>
        <w:t xml:space="preserve">Calvaruso, M.A., J. Smeitink, and L. Nijtmans, </w:t>
      </w:r>
      <w:r w:rsidRPr="00C34E49">
        <w:rPr>
          <w:rFonts w:cs="Arial"/>
          <w:i/>
          <w:smallCaps/>
          <w:noProof/>
          <w:szCs w:val="22"/>
        </w:rPr>
        <w:t>Electrophoresis techniques to investigate defects in oxidative phosphorylation.</w:t>
      </w:r>
      <w:r w:rsidRPr="00C34E49">
        <w:rPr>
          <w:rFonts w:cs="Arial"/>
          <w:smallCaps/>
          <w:noProof/>
          <w:szCs w:val="22"/>
        </w:rPr>
        <w:t xml:space="preserve"> Methods, 2008. 46(4): p. 281-7.</w:t>
      </w:r>
      <w:bookmarkEnd w:id="40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41" w:name="_ENREF_39"/>
      <w:r w:rsidRPr="00C34E49">
        <w:rPr>
          <w:rFonts w:cs="Arial"/>
          <w:smallCaps/>
          <w:noProof/>
          <w:szCs w:val="22"/>
        </w:rPr>
        <w:t>39.</w:t>
      </w:r>
      <w:r w:rsidRPr="00C34E49">
        <w:rPr>
          <w:rFonts w:cs="Arial"/>
          <w:smallCaps/>
          <w:noProof/>
          <w:szCs w:val="22"/>
        </w:rPr>
        <w:tab/>
        <w:t xml:space="preserve">Carrozzo, R., et al., </w:t>
      </w:r>
      <w:r w:rsidRPr="00C34E49">
        <w:rPr>
          <w:rFonts w:cs="Arial"/>
          <w:i/>
          <w:smallCaps/>
          <w:noProof/>
          <w:szCs w:val="22"/>
        </w:rPr>
        <w:t>Subcomplexes of human ATP synthase mark mitochondrial biosynthesis disorders.</w:t>
      </w:r>
      <w:r w:rsidRPr="00C34E49">
        <w:rPr>
          <w:rFonts w:cs="Arial"/>
          <w:smallCaps/>
          <w:noProof/>
          <w:szCs w:val="22"/>
        </w:rPr>
        <w:t xml:space="preserve"> Ann Neurol, 2006. 59(2): p. 265-75.</w:t>
      </w:r>
      <w:bookmarkEnd w:id="41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42" w:name="_ENREF_40"/>
      <w:r w:rsidRPr="00C34E49">
        <w:rPr>
          <w:rFonts w:cs="Arial"/>
          <w:smallCaps/>
          <w:noProof/>
          <w:szCs w:val="22"/>
        </w:rPr>
        <w:t>40.</w:t>
      </w:r>
      <w:r w:rsidRPr="00C34E49">
        <w:rPr>
          <w:rFonts w:cs="Arial"/>
          <w:smallCaps/>
          <w:noProof/>
          <w:szCs w:val="22"/>
        </w:rPr>
        <w:tab/>
        <w:t xml:space="preserve">DiMauro, S., C.M. Quinzii, and M. Hirano, </w:t>
      </w:r>
      <w:r w:rsidRPr="00C34E49">
        <w:rPr>
          <w:rFonts w:cs="Arial"/>
          <w:i/>
          <w:smallCaps/>
          <w:noProof/>
          <w:szCs w:val="22"/>
        </w:rPr>
        <w:t>Mutations in coenzyme Q10 biosynthetic genes.</w:t>
      </w:r>
      <w:r w:rsidRPr="00C34E49">
        <w:rPr>
          <w:rFonts w:cs="Arial"/>
          <w:smallCaps/>
          <w:noProof/>
          <w:szCs w:val="22"/>
        </w:rPr>
        <w:t xml:space="preserve"> J Clin Invest, 2007. 117(3): p. 587-9.</w:t>
      </w:r>
      <w:bookmarkEnd w:id="42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43" w:name="_ENREF_41"/>
      <w:r w:rsidRPr="00C34E49">
        <w:rPr>
          <w:rFonts w:cs="Arial"/>
          <w:smallCaps/>
          <w:noProof/>
          <w:szCs w:val="22"/>
        </w:rPr>
        <w:t>41.</w:t>
      </w:r>
      <w:r w:rsidRPr="00C34E49">
        <w:rPr>
          <w:rFonts w:cs="Arial"/>
          <w:smallCaps/>
          <w:noProof/>
          <w:szCs w:val="22"/>
        </w:rPr>
        <w:tab/>
        <w:t xml:space="preserve">Lopez, L.C., et al., </w:t>
      </w:r>
      <w:r w:rsidRPr="00C34E49">
        <w:rPr>
          <w:rFonts w:cs="Arial"/>
          <w:i/>
          <w:smallCaps/>
          <w:noProof/>
          <w:szCs w:val="22"/>
        </w:rPr>
        <w:t>Leigh syndrome with nephropathy and CoQ10 deficiency due to decaprenyl diphosphate synthase subunit 2 (PDSS2) mutations.</w:t>
      </w:r>
      <w:r w:rsidRPr="00C34E49">
        <w:rPr>
          <w:rFonts w:cs="Arial"/>
          <w:smallCaps/>
          <w:noProof/>
          <w:szCs w:val="22"/>
        </w:rPr>
        <w:t xml:space="preserve"> Am J Hum Genet, 2006. 79(6): p. 1125-9.</w:t>
      </w:r>
      <w:bookmarkEnd w:id="43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44" w:name="_ENREF_42"/>
      <w:r w:rsidRPr="00C34E49">
        <w:rPr>
          <w:rFonts w:cs="Arial"/>
          <w:smallCaps/>
          <w:noProof/>
          <w:szCs w:val="22"/>
        </w:rPr>
        <w:t>42.</w:t>
      </w:r>
      <w:r w:rsidRPr="00C34E49">
        <w:rPr>
          <w:rFonts w:cs="Arial"/>
          <w:smallCaps/>
          <w:noProof/>
          <w:szCs w:val="22"/>
        </w:rPr>
        <w:tab/>
        <w:t xml:space="preserve">Mollet, J., et al., </w:t>
      </w:r>
      <w:r w:rsidRPr="00C34E49">
        <w:rPr>
          <w:rFonts w:cs="Arial"/>
          <w:i/>
          <w:smallCaps/>
          <w:noProof/>
          <w:szCs w:val="22"/>
        </w:rPr>
        <w:t>Prenyldiphosphate synthase, subunit 1 (PDSS1) and OH-benzoate polyprenyltransferase (COQ2) mutations in ubiquinone deficiency and oxidative phosphorylation disorders.</w:t>
      </w:r>
      <w:r w:rsidRPr="00C34E49">
        <w:rPr>
          <w:rFonts w:cs="Arial"/>
          <w:smallCaps/>
          <w:noProof/>
          <w:szCs w:val="22"/>
        </w:rPr>
        <w:t xml:space="preserve"> J Clin Invest, 2007. 117(3): p. 765-72.</w:t>
      </w:r>
      <w:bookmarkEnd w:id="44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45" w:name="_ENREF_43"/>
      <w:r w:rsidRPr="00C34E49">
        <w:rPr>
          <w:rFonts w:cs="Arial"/>
          <w:smallCaps/>
          <w:noProof/>
          <w:szCs w:val="22"/>
        </w:rPr>
        <w:t>43.</w:t>
      </w:r>
      <w:r w:rsidRPr="00C34E49">
        <w:rPr>
          <w:rFonts w:cs="Arial"/>
          <w:smallCaps/>
          <w:noProof/>
          <w:szCs w:val="22"/>
        </w:rPr>
        <w:tab/>
        <w:t xml:space="preserve">Quinzii, C., et al., </w:t>
      </w:r>
      <w:r w:rsidRPr="00C34E49">
        <w:rPr>
          <w:rFonts w:cs="Arial"/>
          <w:i/>
          <w:smallCaps/>
          <w:noProof/>
          <w:szCs w:val="22"/>
        </w:rPr>
        <w:t>A mutation in para-hydroxybenzoate-polyprenyl transferase (COQ2) causes primary coenzyme Q10 deficiency.</w:t>
      </w:r>
      <w:r w:rsidRPr="00C34E49">
        <w:rPr>
          <w:rFonts w:cs="Arial"/>
          <w:smallCaps/>
          <w:noProof/>
          <w:szCs w:val="22"/>
        </w:rPr>
        <w:t xml:space="preserve"> Am J Hum Genet, 2006. 78(2): p. 345-9.</w:t>
      </w:r>
      <w:bookmarkEnd w:id="45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46" w:name="_ENREF_44"/>
      <w:r w:rsidRPr="00C34E49">
        <w:rPr>
          <w:rFonts w:cs="Arial"/>
          <w:smallCaps/>
          <w:noProof/>
          <w:szCs w:val="22"/>
        </w:rPr>
        <w:t>44.</w:t>
      </w:r>
      <w:r w:rsidRPr="00C34E49">
        <w:rPr>
          <w:rFonts w:cs="Arial"/>
          <w:smallCaps/>
          <w:noProof/>
          <w:szCs w:val="22"/>
        </w:rPr>
        <w:tab/>
        <w:t xml:space="preserve">Cordero, M.D., et al., </w:t>
      </w:r>
      <w:r w:rsidRPr="00C34E49">
        <w:rPr>
          <w:rFonts w:cs="Arial"/>
          <w:i/>
          <w:smallCaps/>
          <w:noProof/>
          <w:szCs w:val="22"/>
        </w:rPr>
        <w:t>Mitochondrial dysfunction and mitophagy activation in blood mononuclear cells of fibromyalgia patients: implications in the pathogenesis of the disease.</w:t>
      </w:r>
      <w:r w:rsidRPr="00C34E49">
        <w:rPr>
          <w:rFonts w:cs="Arial"/>
          <w:smallCaps/>
          <w:noProof/>
          <w:szCs w:val="22"/>
        </w:rPr>
        <w:t xml:space="preserve"> Arthritis Res Ther, 2010. 12(1): p. R17.</w:t>
      </w:r>
      <w:bookmarkEnd w:id="46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47" w:name="_ENREF_45"/>
      <w:r w:rsidRPr="00C34E49">
        <w:rPr>
          <w:rFonts w:cs="Arial"/>
          <w:smallCaps/>
          <w:noProof/>
          <w:szCs w:val="22"/>
        </w:rPr>
        <w:t>45.</w:t>
      </w:r>
      <w:r w:rsidRPr="00C34E49">
        <w:rPr>
          <w:rFonts w:cs="Arial"/>
          <w:smallCaps/>
          <w:noProof/>
          <w:szCs w:val="22"/>
        </w:rPr>
        <w:tab/>
        <w:t xml:space="preserve">Duncan, A.J., et al., </w:t>
      </w:r>
      <w:r w:rsidRPr="00C34E49">
        <w:rPr>
          <w:rFonts w:cs="Arial"/>
          <w:i/>
          <w:smallCaps/>
          <w:noProof/>
          <w:szCs w:val="22"/>
        </w:rPr>
        <w:t>Determination of coenzyme Q10 status in blood mononuclear cells, skeletal muscle, and plasma by HPLC with di-propoxy-coenzyme Q10 as an internal standard.</w:t>
      </w:r>
      <w:r w:rsidRPr="00C34E49">
        <w:rPr>
          <w:rFonts w:cs="Arial"/>
          <w:smallCaps/>
          <w:noProof/>
          <w:szCs w:val="22"/>
        </w:rPr>
        <w:t xml:space="preserve"> Clin Chem, 2005. 51(12): p. 2380-2.</w:t>
      </w:r>
      <w:bookmarkEnd w:id="47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48" w:name="_ENREF_46"/>
      <w:r w:rsidRPr="00C34E49">
        <w:rPr>
          <w:rFonts w:cs="Arial"/>
          <w:smallCaps/>
          <w:noProof/>
          <w:szCs w:val="22"/>
        </w:rPr>
        <w:lastRenderedPageBreak/>
        <w:t>46.</w:t>
      </w:r>
      <w:r w:rsidRPr="00C34E49">
        <w:rPr>
          <w:rFonts w:cs="Arial"/>
          <w:smallCaps/>
          <w:noProof/>
          <w:szCs w:val="22"/>
        </w:rPr>
        <w:tab/>
        <w:t xml:space="preserve">Kramer, P.A., et al., </w:t>
      </w:r>
      <w:r w:rsidRPr="00C34E49">
        <w:rPr>
          <w:rFonts w:cs="Arial"/>
          <w:i/>
          <w:smallCaps/>
          <w:noProof/>
          <w:szCs w:val="22"/>
        </w:rPr>
        <w:t>A review of the mitochondrial and glycolytic metabolism in human platelets and leukocytes: Implications for their use as bioenergetic biomarkers.</w:t>
      </w:r>
      <w:r w:rsidRPr="00C34E49">
        <w:rPr>
          <w:rFonts w:cs="Arial"/>
          <w:smallCaps/>
          <w:noProof/>
          <w:szCs w:val="22"/>
        </w:rPr>
        <w:t xml:space="preserve"> Redox Biol, 2014. 2: p. 206-210.</w:t>
      </w:r>
      <w:bookmarkEnd w:id="48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49" w:name="_ENREF_47"/>
      <w:r w:rsidRPr="00C34E49">
        <w:rPr>
          <w:rFonts w:cs="Arial"/>
          <w:smallCaps/>
          <w:noProof/>
          <w:szCs w:val="22"/>
        </w:rPr>
        <w:t>47.</w:t>
      </w:r>
      <w:r w:rsidRPr="00C34E49">
        <w:rPr>
          <w:rFonts w:cs="Arial"/>
          <w:smallCaps/>
          <w:noProof/>
          <w:szCs w:val="22"/>
        </w:rPr>
        <w:tab/>
        <w:t xml:space="preserve">Hroudova, J., et al., </w:t>
      </w:r>
      <w:r w:rsidRPr="00C34E49">
        <w:rPr>
          <w:rFonts w:cs="Arial"/>
          <w:i/>
          <w:smallCaps/>
          <w:noProof/>
          <w:szCs w:val="22"/>
        </w:rPr>
        <w:t>Mitochondrial respiration in blood platelets of depressive patients.</w:t>
      </w:r>
      <w:r w:rsidRPr="00C34E49">
        <w:rPr>
          <w:rFonts w:cs="Arial"/>
          <w:smallCaps/>
          <w:noProof/>
          <w:szCs w:val="22"/>
        </w:rPr>
        <w:t xml:space="preserve"> Mitochondrion, 2013. 13(6): p. 795-800.</w:t>
      </w:r>
      <w:bookmarkEnd w:id="49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50" w:name="_ENREF_48"/>
      <w:r w:rsidRPr="00C34E49">
        <w:rPr>
          <w:rFonts w:cs="Arial"/>
          <w:smallCaps/>
          <w:noProof/>
          <w:szCs w:val="22"/>
        </w:rPr>
        <w:t>48.</w:t>
      </w:r>
      <w:r w:rsidRPr="00C34E49">
        <w:rPr>
          <w:rFonts w:cs="Arial"/>
          <w:smallCaps/>
          <w:noProof/>
          <w:szCs w:val="22"/>
        </w:rPr>
        <w:tab/>
        <w:t xml:space="preserve">Martini, C., et al., </w:t>
      </w:r>
      <w:r w:rsidRPr="00C34E49">
        <w:rPr>
          <w:rFonts w:cs="Arial"/>
          <w:i/>
          <w:smallCaps/>
          <w:noProof/>
          <w:szCs w:val="22"/>
        </w:rPr>
        <w:t>Peripheral benzodiazepine binding sites in platelets of patients affected by mitochondrial diseases and large scale mitochondrial DNA rearrangements.</w:t>
      </w:r>
      <w:r w:rsidRPr="00C34E49">
        <w:rPr>
          <w:rFonts w:cs="Arial"/>
          <w:smallCaps/>
          <w:noProof/>
          <w:szCs w:val="22"/>
        </w:rPr>
        <w:t xml:space="preserve"> Mol Med, 2002. 8(12): p. 841-6.</w:t>
      </w:r>
      <w:bookmarkEnd w:id="50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51" w:name="_ENREF_49"/>
      <w:r w:rsidRPr="00C34E49">
        <w:rPr>
          <w:rFonts w:cs="Arial"/>
          <w:smallCaps/>
          <w:noProof/>
          <w:szCs w:val="22"/>
        </w:rPr>
        <w:t>49.</w:t>
      </w:r>
      <w:r w:rsidRPr="00C34E49">
        <w:rPr>
          <w:rFonts w:cs="Arial"/>
          <w:smallCaps/>
          <w:noProof/>
          <w:szCs w:val="22"/>
        </w:rPr>
        <w:tab/>
        <w:t xml:space="preserve">Tomasetti, M., et al., </w:t>
      </w:r>
      <w:r w:rsidRPr="00C34E49">
        <w:rPr>
          <w:rFonts w:cs="Arial"/>
          <w:i/>
          <w:smallCaps/>
          <w:noProof/>
          <w:szCs w:val="22"/>
        </w:rPr>
        <w:t>Coenzyme Q10 enrichment decreases oxidative DNA damage in human lymphocytes.</w:t>
      </w:r>
      <w:r w:rsidRPr="00C34E49">
        <w:rPr>
          <w:rFonts w:cs="Arial"/>
          <w:smallCaps/>
          <w:noProof/>
          <w:szCs w:val="22"/>
        </w:rPr>
        <w:t xml:space="preserve"> Free Radic Biol Med, 1999. 27(9-10): p. 1027-32.</w:t>
      </w:r>
      <w:bookmarkEnd w:id="51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52" w:name="_ENREF_50"/>
      <w:r w:rsidRPr="00C34E49">
        <w:rPr>
          <w:rFonts w:cs="Arial"/>
          <w:smallCaps/>
          <w:noProof/>
          <w:szCs w:val="22"/>
        </w:rPr>
        <w:t>50.</w:t>
      </w:r>
      <w:r w:rsidRPr="00C34E49">
        <w:rPr>
          <w:rFonts w:cs="Arial"/>
          <w:smallCaps/>
          <w:noProof/>
          <w:szCs w:val="22"/>
        </w:rPr>
        <w:tab/>
        <w:t xml:space="preserve">Migliore, L., et al., </w:t>
      </w:r>
      <w:r w:rsidRPr="00C34E49">
        <w:rPr>
          <w:rFonts w:cs="Arial"/>
          <w:i/>
          <w:smallCaps/>
          <w:noProof/>
          <w:szCs w:val="22"/>
        </w:rPr>
        <w:t>Evaluation of cytogenetic and DNA damage in mitochondrial disease patients: effects of coenzyme Q10 therapy.</w:t>
      </w:r>
      <w:r w:rsidRPr="00C34E49">
        <w:rPr>
          <w:rFonts w:cs="Arial"/>
          <w:smallCaps/>
          <w:noProof/>
          <w:szCs w:val="22"/>
        </w:rPr>
        <w:t xml:space="preserve"> Mutagenesis, 2004. 19(1): p. 43-9.</w:t>
      </w:r>
      <w:bookmarkEnd w:id="52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53" w:name="_ENREF_51"/>
      <w:r w:rsidRPr="00C34E49">
        <w:rPr>
          <w:rFonts w:cs="Arial"/>
          <w:smallCaps/>
          <w:noProof/>
          <w:szCs w:val="22"/>
        </w:rPr>
        <w:t>51.</w:t>
      </w:r>
      <w:r w:rsidRPr="00C34E49">
        <w:rPr>
          <w:rFonts w:cs="Arial"/>
          <w:smallCaps/>
          <w:noProof/>
          <w:szCs w:val="22"/>
        </w:rPr>
        <w:tab/>
        <w:t xml:space="preserve">Naccarati, A., et al., </w:t>
      </w:r>
      <w:r w:rsidRPr="00C34E49">
        <w:rPr>
          <w:rFonts w:cs="Arial"/>
          <w:i/>
          <w:smallCaps/>
          <w:noProof/>
          <w:szCs w:val="22"/>
        </w:rPr>
        <w:t>Cytogenetic damage in peripheral lymphocytes of mitochondrial disease patients.</w:t>
      </w:r>
      <w:r w:rsidRPr="00C34E49">
        <w:rPr>
          <w:rFonts w:cs="Arial"/>
          <w:smallCaps/>
          <w:noProof/>
          <w:szCs w:val="22"/>
        </w:rPr>
        <w:t xml:space="preserve"> Neurol Sci, 2000. 21(5 Suppl): p. S963-5.</w:t>
      </w:r>
      <w:bookmarkEnd w:id="53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54" w:name="_ENREF_52"/>
      <w:r w:rsidRPr="00C34E49">
        <w:rPr>
          <w:rFonts w:cs="Arial"/>
          <w:smallCaps/>
          <w:noProof/>
          <w:szCs w:val="22"/>
        </w:rPr>
        <w:t>52.</w:t>
      </w:r>
      <w:r w:rsidRPr="00C34E49">
        <w:rPr>
          <w:rFonts w:cs="Arial"/>
          <w:smallCaps/>
          <w:noProof/>
          <w:szCs w:val="22"/>
        </w:rPr>
        <w:tab/>
        <w:t xml:space="preserve">Vallance, H.D., J.R. Toone, and D.A. Applegarth, </w:t>
      </w:r>
      <w:r w:rsidRPr="00C34E49">
        <w:rPr>
          <w:rFonts w:cs="Arial"/>
          <w:i/>
          <w:smallCaps/>
          <w:noProof/>
          <w:szCs w:val="22"/>
        </w:rPr>
        <w:t>Measurement of pyruvate dehydrogenase complex (PDHC) in interleukin-2 (IL-2) stimulated lymphocytes.</w:t>
      </w:r>
      <w:r w:rsidRPr="00C34E49">
        <w:rPr>
          <w:rFonts w:cs="Arial"/>
          <w:smallCaps/>
          <w:noProof/>
          <w:szCs w:val="22"/>
        </w:rPr>
        <w:t xml:space="preserve"> J Inherit Metab Dis, 1994. 17(5): p. 627-8.</w:t>
      </w:r>
      <w:bookmarkEnd w:id="54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55" w:name="_ENREF_53"/>
      <w:r w:rsidRPr="00C34E49">
        <w:rPr>
          <w:rFonts w:cs="Arial"/>
          <w:smallCaps/>
          <w:noProof/>
          <w:szCs w:val="22"/>
        </w:rPr>
        <w:t>53.</w:t>
      </w:r>
      <w:r w:rsidRPr="00C34E49">
        <w:rPr>
          <w:rFonts w:cs="Arial"/>
          <w:smallCaps/>
          <w:noProof/>
          <w:szCs w:val="22"/>
        </w:rPr>
        <w:tab/>
        <w:t xml:space="preserve">Fouque, F., et al., </w:t>
      </w:r>
      <w:r w:rsidRPr="00C34E49">
        <w:rPr>
          <w:rFonts w:cs="Arial"/>
          <w:i/>
          <w:smallCaps/>
          <w:noProof/>
          <w:szCs w:val="22"/>
        </w:rPr>
        <w:t>Differential effect of DCA treatment on the pyruvate dehydrogenase complex in patients with severe PDHC deficiency.</w:t>
      </w:r>
      <w:r w:rsidRPr="00C34E49">
        <w:rPr>
          <w:rFonts w:cs="Arial"/>
          <w:smallCaps/>
          <w:noProof/>
          <w:szCs w:val="22"/>
        </w:rPr>
        <w:t xml:space="preserve"> Pediatr Res, 2003. 53(5): p. 793-9.</w:t>
      </w:r>
      <w:bookmarkEnd w:id="55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56" w:name="_ENREF_54"/>
      <w:r w:rsidRPr="00C34E49">
        <w:rPr>
          <w:rFonts w:cs="Arial"/>
          <w:smallCaps/>
          <w:noProof/>
          <w:szCs w:val="22"/>
        </w:rPr>
        <w:t>54.</w:t>
      </w:r>
      <w:r w:rsidRPr="00C34E49">
        <w:rPr>
          <w:rFonts w:cs="Arial"/>
          <w:smallCaps/>
          <w:noProof/>
          <w:szCs w:val="22"/>
        </w:rPr>
        <w:tab/>
        <w:t xml:space="preserve">Van Bergen, N.J., et al., </w:t>
      </w:r>
      <w:r w:rsidRPr="00C34E49">
        <w:rPr>
          <w:rFonts w:cs="Arial"/>
          <w:i/>
          <w:smallCaps/>
          <w:noProof/>
          <w:szCs w:val="22"/>
        </w:rPr>
        <w:t>Oxidative phosphorylation measurement in cell lines and tissues.</w:t>
      </w:r>
      <w:r w:rsidRPr="00C34E49">
        <w:rPr>
          <w:rFonts w:cs="Arial"/>
          <w:smallCaps/>
          <w:noProof/>
          <w:szCs w:val="22"/>
        </w:rPr>
        <w:t xml:space="preserve"> Mitochondrion, 2014.</w:t>
      </w:r>
      <w:bookmarkEnd w:id="56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57" w:name="_ENREF_55"/>
      <w:r w:rsidRPr="00C34E49">
        <w:rPr>
          <w:rFonts w:cs="Arial"/>
          <w:smallCaps/>
          <w:noProof/>
          <w:szCs w:val="22"/>
        </w:rPr>
        <w:t>55.</w:t>
      </w:r>
      <w:r w:rsidRPr="00C34E49">
        <w:rPr>
          <w:rFonts w:cs="Arial"/>
          <w:smallCaps/>
          <w:noProof/>
          <w:szCs w:val="22"/>
        </w:rPr>
        <w:tab/>
        <w:t xml:space="preserve">Adeva, M., et al., </w:t>
      </w:r>
      <w:r w:rsidRPr="00C34E49">
        <w:rPr>
          <w:rFonts w:cs="Arial"/>
          <w:i/>
          <w:smallCaps/>
          <w:noProof/>
          <w:szCs w:val="22"/>
        </w:rPr>
        <w:t>Enzymes involved in l-lactate metabolism in humans.</w:t>
      </w:r>
      <w:r w:rsidRPr="00C34E49">
        <w:rPr>
          <w:rFonts w:cs="Arial"/>
          <w:smallCaps/>
          <w:noProof/>
          <w:szCs w:val="22"/>
        </w:rPr>
        <w:t xml:space="preserve"> Mitochondrion, 2013. 13(6): p. 615-29.</w:t>
      </w:r>
      <w:bookmarkEnd w:id="57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58" w:name="_ENREF_56"/>
      <w:r w:rsidRPr="00C34E49">
        <w:rPr>
          <w:rFonts w:cs="Arial"/>
          <w:smallCaps/>
          <w:noProof/>
          <w:szCs w:val="22"/>
        </w:rPr>
        <w:t>56.</w:t>
      </w:r>
      <w:r w:rsidRPr="00C34E49">
        <w:rPr>
          <w:rFonts w:cs="Arial"/>
          <w:smallCaps/>
          <w:noProof/>
          <w:szCs w:val="22"/>
        </w:rPr>
        <w:tab/>
        <w:t xml:space="preserve">Hargreaves, I.P., et al., </w:t>
      </w:r>
      <w:r w:rsidRPr="00C34E49">
        <w:rPr>
          <w:rFonts w:cs="Arial"/>
          <w:i/>
          <w:smallCaps/>
          <w:noProof/>
          <w:szCs w:val="22"/>
        </w:rPr>
        <w:t>Glutathione deficiency in patients with mitochondrial disease: implications for pathogenesis and treatment.</w:t>
      </w:r>
      <w:r w:rsidRPr="00C34E49">
        <w:rPr>
          <w:rFonts w:cs="Arial"/>
          <w:smallCaps/>
          <w:noProof/>
          <w:szCs w:val="22"/>
        </w:rPr>
        <w:t xml:space="preserve"> J Inherit Metab Dis, 2005. 28(1): p. 81-8.</w:t>
      </w:r>
      <w:bookmarkEnd w:id="58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59" w:name="_ENREF_57"/>
      <w:r w:rsidRPr="00C34E49">
        <w:rPr>
          <w:rFonts w:cs="Arial"/>
          <w:smallCaps/>
          <w:noProof/>
          <w:szCs w:val="22"/>
        </w:rPr>
        <w:t>57.</w:t>
      </w:r>
      <w:r w:rsidRPr="00C34E49">
        <w:rPr>
          <w:rFonts w:cs="Arial"/>
          <w:smallCaps/>
          <w:noProof/>
          <w:szCs w:val="22"/>
        </w:rPr>
        <w:tab/>
        <w:t xml:space="preserve">Comi, G.P., et al., </w:t>
      </w:r>
      <w:r w:rsidRPr="00C34E49">
        <w:rPr>
          <w:rFonts w:cs="Arial"/>
          <w:i/>
          <w:smallCaps/>
          <w:noProof/>
          <w:szCs w:val="22"/>
        </w:rPr>
        <w:t>Cytochrome c oxidase subunit I microdeletion in a patient with motor neuron disease.</w:t>
      </w:r>
      <w:r w:rsidRPr="00C34E49">
        <w:rPr>
          <w:rFonts w:cs="Arial"/>
          <w:smallCaps/>
          <w:noProof/>
          <w:szCs w:val="22"/>
        </w:rPr>
        <w:t xml:space="preserve"> Ann Neurol, 1998. 43(1): p. 110-6.</w:t>
      </w:r>
      <w:bookmarkEnd w:id="59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60" w:name="_ENREF_58"/>
      <w:r w:rsidRPr="00C34E49">
        <w:rPr>
          <w:rFonts w:cs="Arial"/>
          <w:smallCaps/>
          <w:noProof/>
          <w:szCs w:val="22"/>
        </w:rPr>
        <w:t>58.</w:t>
      </w:r>
      <w:r w:rsidRPr="00C34E49">
        <w:rPr>
          <w:rFonts w:cs="Arial"/>
          <w:smallCaps/>
          <w:noProof/>
          <w:szCs w:val="22"/>
        </w:rPr>
        <w:tab/>
        <w:t xml:space="preserve">Andringa, K., A. King, and S. Bailey, </w:t>
      </w:r>
      <w:r w:rsidRPr="00C34E49">
        <w:rPr>
          <w:rFonts w:cs="Arial"/>
          <w:i/>
          <w:smallCaps/>
          <w:noProof/>
          <w:szCs w:val="22"/>
        </w:rPr>
        <w:t>Blue native-gel electrophoresis proteomics.</w:t>
      </w:r>
      <w:r w:rsidRPr="00C34E49">
        <w:rPr>
          <w:rFonts w:cs="Arial"/>
          <w:smallCaps/>
          <w:noProof/>
          <w:szCs w:val="22"/>
        </w:rPr>
        <w:t xml:space="preserve"> Methods Mol Biol, 2009. 519: p. 241-58.</w:t>
      </w:r>
      <w:bookmarkEnd w:id="60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61" w:name="_ENREF_59"/>
      <w:r w:rsidRPr="00C34E49">
        <w:rPr>
          <w:rFonts w:cs="Arial"/>
          <w:smallCaps/>
          <w:noProof/>
          <w:szCs w:val="22"/>
        </w:rPr>
        <w:t>59.</w:t>
      </w:r>
      <w:r w:rsidRPr="00C34E49">
        <w:rPr>
          <w:rFonts w:cs="Arial"/>
          <w:smallCaps/>
          <w:noProof/>
          <w:szCs w:val="22"/>
        </w:rPr>
        <w:tab/>
        <w:t xml:space="preserve">Tuppen, H.A., et al., </w:t>
      </w:r>
      <w:r w:rsidRPr="00C34E49">
        <w:rPr>
          <w:rFonts w:cs="Arial"/>
          <w:i/>
          <w:smallCaps/>
          <w:noProof/>
          <w:szCs w:val="22"/>
        </w:rPr>
        <w:t>Mutations in the mitochondrial tRNA Ser(AGY) gene are associated with deafness, retinal degeneration, myopathy and epilepsy.</w:t>
      </w:r>
      <w:r w:rsidRPr="00C34E49">
        <w:rPr>
          <w:rFonts w:cs="Arial"/>
          <w:smallCaps/>
          <w:noProof/>
          <w:szCs w:val="22"/>
        </w:rPr>
        <w:t xml:space="preserve"> Eur J Hum Genet, 2012. 20(8): p. 897-904.</w:t>
      </w:r>
      <w:bookmarkEnd w:id="61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62" w:name="_ENREF_60"/>
      <w:r w:rsidRPr="00C34E49">
        <w:rPr>
          <w:rFonts w:cs="Arial"/>
          <w:smallCaps/>
          <w:noProof/>
          <w:szCs w:val="22"/>
        </w:rPr>
        <w:t>60.</w:t>
      </w:r>
      <w:r w:rsidRPr="00C34E49">
        <w:rPr>
          <w:rFonts w:cs="Arial"/>
          <w:smallCaps/>
          <w:noProof/>
          <w:szCs w:val="22"/>
        </w:rPr>
        <w:tab/>
        <w:t xml:space="preserve">Assouline, Z., et al., </w:t>
      </w:r>
      <w:r w:rsidRPr="00C34E49">
        <w:rPr>
          <w:rFonts w:cs="Arial"/>
          <w:i/>
          <w:smallCaps/>
          <w:noProof/>
          <w:szCs w:val="22"/>
        </w:rPr>
        <w:t>A constant and similar assembly defect of mitochondrial respiratory chain complex I allows rapid identification of NDUFS4 mutations in patients with Leigh syndrome.</w:t>
      </w:r>
      <w:r w:rsidRPr="00C34E49">
        <w:rPr>
          <w:rFonts w:cs="Arial"/>
          <w:smallCaps/>
          <w:noProof/>
          <w:szCs w:val="22"/>
        </w:rPr>
        <w:t xml:space="preserve"> Biochim Biophys Acta, 2012. 1822(6): p. 1062-9.</w:t>
      </w:r>
      <w:bookmarkEnd w:id="62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63" w:name="_ENREF_61"/>
      <w:r w:rsidRPr="00C34E49">
        <w:rPr>
          <w:rFonts w:cs="Arial"/>
          <w:smallCaps/>
          <w:noProof/>
          <w:szCs w:val="22"/>
        </w:rPr>
        <w:t>61.</w:t>
      </w:r>
      <w:r w:rsidRPr="00C34E49">
        <w:rPr>
          <w:rFonts w:cs="Arial"/>
          <w:smallCaps/>
          <w:noProof/>
          <w:szCs w:val="22"/>
        </w:rPr>
        <w:tab/>
        <w:t xml:space="preserve">Pitceathly, R.D., et al., </w:t>
      </w:r>
      <w:r w:rsidRPr="00C34E49">
        <w:rPr>
          <w:rFonts w:cs="Arial"/>
          <w:i/>
          <w:smallCaps/>
          <w:noProof/>
          <w:szCs w:val="22"/>
        </w:rPr>
        <w:t>Kearns-Sayre syndrome caused by defective R1/p53R2 assembly.</w:t>
      </w:r>
      <w:r w:rsidRPr="00C34E49">
        <w:rPr>
          <w:rFonts w:cs="Arial"/>
          <w:smallCaps/>
          <w:noProof/>
          <w:szCs w:val="22"/>
        </w:rPr>
        <w:t xml:space="preserve"> J Med Genet, 2011. 48(9): p. 610-7.</w:t>
      </w:r>
      <w:bookmarkEnd w:id="63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64" w:name="_ENREF_62"/>
      <w:r w:rsidRPr="00C34E49">
        <w:rPr>
          <w:rFonts w:cs="Arial"/>
          <w:smallCaps/>
          <w:noProof/>
          <w:szCs w:val="22"/>
        </w:rPr>
        <w:t>62.</w:t>
      </w:r>
      <w:r w:rsidRPr="00C34E49">
        <w:rPr>
          <w:rFonts w:cs="Arial"/>
          <w:smallCaps/>
          <w:noProof/>
          <w:szCs w:val="22"/>
        </w:rPr>
        <w:tab/>
        <w:t xml:space="preserve">Gerards, M., et al., </w:t>
      </w:r>
      <w:r w:rsidRPr="00C34E49">
        <w:rPr>
          <w:rFonts w:cs="Arial"/>
          <w:i/>
          <w:smallCaps/>
          <w:noProof/>
          <w:szCs w:val="22"/>
        </w:rPr>
        <w:t>Defective complex I assembly due to C20orf7 mutations as a new cause of Leigh syndrome.</w:t>
      </w:r>
      <w:r w:rsidRPr="00C34E49">
        <w:rPr>
          <w:rFonts w:cs="Arial"/>
          <w:smallCaps/>
          <w:noProof/>
          <w:szCs w:val="22"/>
        </w:rPr>
        <w:t xml:space="preserve"> J Med Genet, 2010. 47(8): p. 507-12.</w:t>
      </w:r>
      <w:bookmarkEnd w:id="64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65" w:name="_ENREF_63"/>
      <w:r w:rsidRPr="00C34E49">
        <w:rPr>
          <w:rFonts w:cs="Arial"/>
          <w:smallCaps/>
          <w:noProof/>
          <w:szCs w:val="22"/>
        </w:rPr>
        <w:t>63.</w:t>
      </w:r>
      <w:r w:rsidRPr="00C34E49">
        <w:rPr>
          <w:rFonts w:cs="Arial"/>
          <w:smallCaps/>
          <w:noProof/>
          <w:szCs w:val="22"/>
        </w:rPr>
        <w:tab/>
        <w:t xml:space="preserve">Wittig, I. and H. Schagger, </w:t>
      </w:r>
      <w:r w:rsidRPr="00C34E49">
        <w:rPr>
          <w:rFonts w:cs="Arial"/>
          <w:i/>
          <w:smallCaps/>
          <w:noProof/>
          <w:szCs w:val="22"/>
        </w:rPr>
        <w:t>Features and applications of blue-native and clear-native electrophoresis.</w:t>
      </w:r>
      <w:r w:rsidRPr="00C34E49">
        <w:rPr>
          <w:rFonts w:cs="Arial"/>
          <w:smallCaps/>
          <w:noProof/>
          <w:szCs w:val="22"/>
        </w:rPr>
        <w:t xml:space="preserve"> Proteomics, 2008. 8(19): p. 3974-90.</w:t>
      </w:r>
      <w:bookmarkEnd w:id="65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66" w:name="_ENREF_64"/>
      <w:r w:rsidRPr="00C34E49">
        <w:rPr>
          <w:rFonts w:cs="Arial"/>
          <w:smallCaps/>
          <w:noProof/>
          <w:szCs w:val="22"/>
        </w:rPr>
        <w:t>64.</w:t>
      </w:r>
      <w:r w:rsidRPr="00C34E49">
        <w:rPr>
          <w:rFonts w:cs="Arial"/>
          <w:smallCaps/>
          <w:noProof/>
          <w:szCs w:val="22"/>
        </w:rPr>
        <w:tab/>
        <w:t xml:space="preserve">Wittig, I. and H. Schagger, </w:t>
      </w:r>
      <w:r w:rsidRPr="00C34E49">
        <w:rPr>
          <w:rFonts w:cs="Arial"/>
          <w:i/>
          <w:smallCaps/>
          <w:noProof/>
          <w:szCs w:val="22"/>
        </w:rPr>
        <w:t>Advantages and limitations of clear-native PAGE.</w:t>
      </w:r>
      <w:r w:rsidRPr="00C34E49">
        <w:rPr>
          <w:rFonts w:cs="Arial"/>
          <w:smallCaps/>
          <w:noProof/>
          <w:szCs w:val="22"/>
        </w:rPr>
        <w:t xml:space="preserve"> Proteomics, 2005. 5(17): p. 4338-46.</w:t>
      </w:r>
      <w:bookmarkEnd w:id="66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67" w:name="_ENREF_65"/>
      <w:r w:rsidRPr="00C34E49">
        <w:rPr>
          <w:rFonts w:cs="Arial"/>
          <w:smallCaps/>
          <w:noProof/>
          <w:szCs w:val="22"/>
        </w:rPr>
        <w:t>65.</w:t>
      </w:r>
      <w:r w:rsidRPr="00C34E49">
        <w:rPr>
          <w:rFonts w:cs="Arial"/>
          <w:smallCaps/>
          <w:noProof/>
          <w:szCs w:val="22"/>
        </w:rPr>
        <w:tab/>
        <w:t xml:space="preserve">Wumaier, Z., et al., </w:t>
      </w:r>
      <w:r w:rsidRPr="00C34E49">
        <w:rPr>
          <w:rFonts w:cs="Arial"/>
          <w:i/>
          <w:smallCaps/>
          <w:noProof/>
          <w:szCs w:val="22"/>
        </w:rPr>
        <w:t>Chapter 8 Two-dimensional native electrophoresis for fluorescent and functional assays of mitochondrial complexes.</w:t>
      </w:r>
      <w:r w:rsidRPr="00C34E49">
        <w:rPr>
          <w:rFonts w:cs="Arial"/>
          <w:smallCaps/>
          <w:noProof/>
          <w:szCs w:val="22"/>
        </w:rPr>
        <w:t xml:space="preserve"> Methods Enzymol, 2009. 456: p. 153-68.</w:t>
      </w:r>
      <w:bookmarkEnd w:id="67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68" w:name="_ENREF_66"/>
      <w:r w:rsidRPr="00C34E49">
        <w:rPr>
          <w:rFonts w:cs="Arial"/>
          <w:smallCaps/>
          <w:noProof/>
          <w:szCs w:val="22"/>
        </w:rPr>
        <w:t>66.</w:t>
      </w:r>
      <w:r w:rsidRPr="00C34E49">
        <w:rPr>
          <w:rFonts w:cs="Arial"/>
          <w:smallCaps/>
          <w:noProof/>
          <w:szCs w:val="22"/>
        </w:rPr>
        <w:tab/>
        <w:t xml:space="preserve">Wittig, I., et al., </w:t>
      </w:r>
      <w:r w:rsidRPr="00C34E49">
        <w:rPr>
          <w:rFonts w:cs="Arial"/>
          <w:i/>
          <w:smallCaps/>
          <w:noProof/>
          <w:szCs w:val="22"/>
        </w:rPr>
        <w:t>Functional assays in high-resolution clear native gels to quantify mitochondrial complexes in human biopsies and cell lines.</w:t>
      </w:r>
      <w:r w:rsidRPr="00C34E49">
        <w:rPr>
          <w:rFonts w:cs="Arial"/>
          <w:smallCaps/>
          <w:noProof/>
          <w:szCs w:val="22"/>
        </w:rPr>
        <w:t xml:space="preserve"> Electrophoresis, 2007. 28(21): p. 3811-20.</w:t>
      </w:r>
      <w:bookmarkEnd w:id="68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69" w:name="_ENREF_67"/>
      <w:r w:rsidRPr="00C34E49">
        <w:rPr>
          <w:rFonts w:cs="Arial"/>
          <w:smallCaps/>
          <w:noProof/>
          <w:szCs w:val="22"/>
        </w:rPr>
        <w:t>67.</w:t>
      </w:r>
      <w:r w:rsidRPr="00C34E49">
        <w:rPr>
          <w:rFonts w:cs="Arial"/>
          <w:smallCaps/>
          <w:noProof/>
          <w:szCs w:val="22"/>
        </w:rPr>
        <w:tab/>
        <w:t xml:space="preserve">Wittig, I., M. Karas, and H. Schagger, </w:t>
      </w:r>
      <w:r w:rsidRPr="00C34E49">
        <w:rPr>
          <w:rFonts w:cs="Arial"/>
          <w:i/>
          <w:smallCaps/>
          <w:noProof/>
          <w:szCs w:val="22"/>
        </w:rPr>
        <w:t>High resolution clear native electrophoresis for in-gel functional assays and fluorescence studies of membrane protein complexes.</w:t>
      </w:r>
      <w:r w:rsidRPr="00C34E49">
        <w:rPr>
          <w:rFonts w:cs="Arial"/>
          <w:smallCaps/>
          <w:noProof/>
          <w:szCs w:val="22"/>
        </w:rPr>
        <w:t xml:space="preserve"> Mol Cell Proteomics, 2007. 6(7): p. 1215-25.</w:t>
      </w:r>
      <w:bookmarkEnd w:id="69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70" w:name="_ENREF_68"/>
      <w:r w:rsidRPr="00C34E49">
        <w:rPr>
          <w:rFonts w:cs="Arial"/>
          <w:smallCaps/>
          <w:noProof/>
          <w:szCs w:val="22"/>
        </w:rPr>
        <w:lastRenderedPageBreak/>
        <w:t>68.</w:t>
      </w:r>
      <w:r w:rsidRPr="00C34E49">
        <w:rPr>
          <w:rFonts w:cs="Arial"/>
          <w:smallCaps/>
          <w:noProof/>
          <w:szCs w:val="22"/>
        </w:rPr>
        <w:tab/>
        <w:t xml:space="preserve">Siciliano, G., et al., </w:t>
      </w:r>
      <w:r w:rsidRPr="00C34E49">
        <w:rPr>
          <w:rFonts w:cs="Arial"/>
          <w:i/>
          <w:smallCaps/>
          <w:noProof/>
          <w:szCs w:val="22"/>
        </w:rPr>
        <w:t>Abnormal levels of human mitochondrial transcription factor A in skeletal muscle in mitochondrial encephalomyopathies.</w:t>
      </w:r>
      <w:r w:rsidRPr="00C34E49">
        <w:rPr>
          <w:rFonts w:cs="Arial"/>
          <w:smallCaps/>
          <w:noProof/>
          <w:szCs w:val="22"/>
        </w:rPr>
        <w:t xml:space="preserve"> Neurol Sci, 2000. 21(5 Suppl): p. S985-7.</w:t>
      </w:r>
      <w:bookmarkEnd w:id="70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71" w:name="_ENREF_69"/>
      <w:r w:rsidRPr="00C34E49">
        <w:rPr>
          <w:rFonts w:cs="Arial"/>
          <w:smallCaps/>
          <w:noProof/>
          <w:szCs w:val="22"/>
        </w:rPr>
        <w:t>69.</w:t>
      </w:r>
      <w:r w:rsidRPr="00C34E49">
        <w:rPr>
          <w:rFonts w:cs="Arial"/>
          <w:smallCaps/>
          <w:noProof/>
          <w:szCs w:val="22"/>
        </w:rPr>
        <w:tab/>
        <w:t xml:space="preserve">Nakashima-Kamimura, N., et al., </w:t>
      </w:r>
      <w:r w:rsidRPr="00C34E49">
        <w:rPr>
          <w:rFonts w:cs="Arial"/>
          <w:i/>
          <w:smallCaps/>
          <w:noProof/>
          <w:szCs w:val="22"/>
        </w:rPr>
        <w:t>MIDAS/GPP34, a nuclear gene product, regulates total mitochondrial mass in response to mitochondrial dysfunction.</w:t>
      </w:r>
      <w:r w:rsidRPr="00C34E49">
        <w:rPr>
          <w:rFonts w:cs="Arial"/>
          <w:smallCaps/>
          <w:noProof/>
          <w:szCs w:val="22"/>
        </w:rPr>
        <w:t xml:space="preserve"> J Cell Sci, 2005. 118(Pt 22): p. 5357-67.</w:t>
      </w:r>
      <w:bookmarkEnd w:id="71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72" w:name="_ENREF_70"/>
      <w:r w:rsidRPr="00C34E49">
        <w:rPr>
          <w:rFonts w:cs="Arial"/>
          <w:smallCaps/>
          <w:noProof/>
          <w:szCs w:val="22"/>
        </w:rPr>
        <w:t>70.</w:t>
      </w:r>
      <w:r w:rsidRPr="00C34E49">
        <w:rPr>
          <w:rFonts w:cs="Arial"/>
          <w:smallCaps/>
          <w:noProof/>
          <w:szCs w:val="22"/>
        </w:rPr>
        <w:tab/>
        <w:t xml:space="preserve">Adhihetty, P.J., et al., </w:t>
      </w:r>
      <w:r w:rsidRPr="00C34E49">
        <w:rPr>
          <w:rFonts w:cs="Arial"/>
          <w:i/>
          <w:smallCaps/>
          <w:noProof/>
          <w:szCs w:val="22"/>
        </w:rPr>
        <w:t>The effect of training on the expression of mitochondrial biogenesis- and apoptosis-related proteins in skeletal muscle of patients with mtDNA defects.</w:t>
      </w:r>
      <w:r w:rsidRPr="00C34E49">
        <w:rPr>
          <w:rFonts w:cs="Arial"/>
          <w:smallCaps/>
          <w:noProof/>
          <w:szCs w:val="22"/>
        </w:rPr>
        <w:t xml:space="preserve"> Am J Physiol Endocrinol Metab, 2007. 293(3): p. E672-80.</w:t>
      </w:r>
      <w:bookmarkEnd w:id="72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73" w:name="_ENREF_71"/>
      <w:r w:rsidRPr="00C34E49">
        <w:rPr>
          <w:rFonts w:cs="Arial"/>
          <w:smallCaps/>
          <w:noProof/>
          <w:szCs w:val="22"/>
        </w:rPr>
        <w:t>71.</w:t>
      </w:r>
      <w:r w:rsidRPr="00C34E49">
        <w:rPr>
          <w:rFonts w:cs="Arial"/>
          <w:smallCaps/>
          <w:noProof/>
          <w:szCs w:val="22"/>
        </w:rPr>
        <w:tab/>
        <w:t xml:space="preserve">Filosto, M., et al., </w:t>
      </w:r>
      <w:r w:rsidRPr="00C34E49">
        <w:rPr>
          <w:rFonts w:cs="Arial"/>
          <w:i/>
          <w:smallCaps/>
          <w:noProof/>
          <w:szCs w:val="22"/>
        </w:rPr>
        <w:t>Neuropathology of mitochondrial diseases.</w:t>
      </w:r>
      <w:r w:rsidRPr="00C34E49">
        <w:rPr>
          <w:rFonts w:cs="Arial"/>
          <w:smallCaps/>
          <w:noProof/>
          <w:szCs w:val="22"/>
        </w:rPr>
        <w:t xml:space="preserve"> Biosci Rep, 2007. 27(1-3): p. 23-30.</w:t>
      </w:r>
      <w:bookmarkEnd w:id="73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74" w:name="_ENREF_72"/>
      <w:r w:rsidRPr="00C34E49">
        <w:rPr>
          <w:rFonts w:cs="Arial"/>
          <w:smallCaps/>
          <w:noProof/>
          <w:szCs w:val="22"/>
        </w:rPr>
        <w:t>72.</w:t>
      </w:r>
      <w:r w:rsidRPr="00C34E49">
        <w:rPr>
          <w:rFonts w:cs="Arial"/>
          <w:smallCaps/>
          <w:noProof/>
          <w:szCs w:val="22"/>
        </w:rPr>
        <w:tab/>
        <w:t xml:space="preserve">Ross, J.M., </w:t>
      </w:r>
      <w:r w:rsidRPr="00C34E49">
        <w:rPr>
          <w:rFonts w:cs="Arial"/>
          <w:i/>
          <w:smallCaps/>
          <w:noProof/>
          <w:szCs w:val="22"/>
        </w:rPr>
        <w:t>Visualization of mitochondrial respiratory function using cytochrome c oxidase/succinate dehydrogenase (COX/SDH) double-labeling histochemistry.</w:t>
      </w:r>
      <w:r w:rsidRPr="00C34E49">
        <w:rPr>
          <w:rFonts w:cs="Arial"/>
          <w:smallCaps/>
          <w:noProof/>
          <w:szCs w:val="22"/>
        </w:rPr>
        <w:t xml:space="preserve"> J Vis Exp, 2011(57): p. e3266.</w:t>
      </w:r>
      <w:bookmarkEnd w:id="74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75" w:name="_ENREF_73"/>
      <w:r w:rsidRPr="00C34E49">
        <w:rPr>
          <w:rFonts w:cs="Arial"/>
          <w:smallCaps/>
          <w:noProof/>
          <w:szCs w:val="22"/>
        </w:rPr>
        <w:t>73.</w:t>
      </w:r>
      <w:r w:rsidRPr="00C34E49">
        <w:rPr>
          <w:rFonts w:cs="Arial"/>
          <w:smallCaps/>
          <w:noProof/>
          <w:szCs w:val="22"/>
        </w:rPr>
        <w:tab/>
        <w:t xml:space="preserve">De Paepe, B., et al., </w:t>
      </w:r>
      <w:r w:rsidRPr="00C34E49">
        <w:rPr>
          <w:rFonts w:cs="Arial"/>
          <w:i/>
          <w:smallCaps/>
          <w:noProof/>
          <w:szCs w:val="22"/>
        </w:rPr>
        <w:t>Immunohistochemical analysis of the oxidative phosphorylation complexes in skeletal muscle from patients with mitochondrial DNA encoded tRNA gene defects.</w:t>
      </w:r>
      <w:r w:rsidRPr="00C34E49">
        <w:rPr>
          <w:rFonts w:cs="Arial"/>
          <w:smallCaps/>
          <w:noProof/>
          <w:szCs w:val="22"/>
        </w:rPr>
        <w:t xml:space="preserve"> J Clin Pathol, 2009. 62(2): p. 172-6.</w:t>
      </w:r>
      <w:bookmarkEnd w:id="75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76" w:name="_ENREF_74"/>
      <w:r w:rsidRPr="00C34E49">
        <w:rPr>
          <w:rFonts w:cs="Arial"/>
          <w:smallCaps/>
          <w:noProof/>
          <w:szCs w:val="22"/>
        </w:rPr>
        <w:t>74.</w:t>
      </w:r>
      <w:r w:rsidRPr="00C34E49">
        <w:rPr>
          <w:rFonts w:cs="Arial"/>
          <w:smallCaps/>
          <w:noProof/>
          <w:szCs w:val="22"/>
        </w:rPr>
        <w:tab/>
        <w:t xml:space="preserve">Kin, T., et al., </w:t>
      </w:r>
      <w:r w:rsidRPr="00C34E49">
        <w:rPr>
          <w:rFonts w:cs="Arial"/>
          <w:i/>
          <w:smallCaps/>
          <w:noProof/>
          <w:szCs w:val="22"/>
        </w:rPr>
        <w:t>Humanin expression in skeletal muscles of patients with chronic progressive external ophthalmoplegia.</w:t>
      </w:r>
      <w:r w:rsidRPr="00C34E49">
        <w:rPr>
          <w:rFonts w:cs="Arial"/>
          <w:smallCaps/>
          <w:noProof/>
          <w:szCs w:val="22"/>
        </w:rPr>
        <w:t xml:space="preserve"> J Hum Genet, 2006. 51(6): p. 555-8.</w:t>
      </w:r>
      <w:bookmarkEnd w:id="76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77" w:name="_ENREF_75"/>
      <w:r w:rsidRPr="00C34E49">
        <w:rPr>
          <w:rFonts w:cs="Arial"/>
          <w:smallCaps/>
          <w:noProof/>
          <w:szCs w:val="22"/>
        </w:rPr>
        <w:t>75.</w:t>
      </w:r>
      <w:r w:rsidRPr="00C34E49">
        <w:rPr>
          <w:rFonts w:cs="Arial"/>
          <w:smallCaps/>
          <w:noProof/>
          <w:szCs w:val="22"/>
        </w:rPr>
        <w:tab/>
        <w:t xml:space="preserve">DaRe, J.T., et al., </w:t>
      </w:r>
      <w:r w:rsidRPr="00C34E49">
        <w:rPr>
          <w:rFonts w:cs="Arial"/>
          <w:i/>
          <w:smallCaps/>
          <w:noProof/>
          <w:szCs w:val="22"/>
        </w:rPr>
        <w:t>Targeted exome sequencing for mitochondrial disorders reveals high genetic heterogeneity.</w:t>
      </w:r>
      <w:r w:rsidRPr="00C34E49">
        <w:rPr>
          <w:rFonts w:cs="Arial"/>
          <w:smallCaps/>
          <w:noProof/>
          <w:szCs w:val="22"/>
        </w:rPr>
        <w:t xml:space="preserve"> BMC Med Genet, 2013. 14: p. 118.</w:t>
      </w:r>
      <w:bookmarkEnd w:id="77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78" w:name="_ENREF_76"/>
      <w:r w:rsidRPr="00C34E49">
        <w:rPr>
          <w:rFonts w:cs="Arial"/>
          <w:smallCaps/>
          <w:noProof/>
          <w:szCs w:val="22"/>
        </w:rPr>
        <w:t>76.</w:t>
      </w:r>
      <w:r w:rsidRPr="00C34E49">
        <w:rPr>
          <w:rFonts w:cs="Arial"/>
          <w:smallCaps/>
          <w:noProof/>
          <w:szCs w:val="22"/>
        </w:rPr>
        <w:tab/>
        <w:t xml:space="preserve">Dames, S., et al., </w:t>
      </w:r>
      <w:r w:rsidRPr="00C34E49">
        <w:rPr>
          <w:rFonts w:cs="Arial"/>
          <w:i/>
          <w:smallCaps/>
          <w:noProof/>
          <w:szCs w:val="22"/>
        </w:rPr>
        <w:t>The development of next-generation sequencing assays for the mitochondrial genome and 108 nuclear genes associated with mitochondrial disorders.</w:t>
      </w:r>
      <w:r w:rsidRPr="00C34E49">
        <w:rPr>
          <w:rFonts w:cs="Arial"/>
          <w:smallCaps/>
          <w:noProof/>
          <w:szCs w:val="22"/>
        </w:rPr>
        <w:t xml:space="preserve"> J Mol Diagn, 2013. 15(4): p. 526-34.</w:t>
      </w:r>
      <w:bookmarkEnd w:id="78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79" w:name="_ENREF_77"/>
      <w:r w:rsidRPr="00C34E49">
        <w:rPr>
          <w:rFonts w:cs="Arial"/>
          <w:smallCaps/>
          <w:noProof/>
          <w:szCs w:val="22"/>
        </w:rPr>
        <w:t>77.</w:t>
      </w:r>
      <w:r w:rsidRPr="00C34E49">
        <w:rPr>
          <w:rFonts w:cs="Arial"/>
          <w:smallCaps/>
          <w:noProof/>
          <w:szCs w:val="22"/>
        </w:rPr>
        <w:tab/>
        <w:t xml:space="preserve">Amstutz, U., et al., </w:t>
      </w:r>
      <w:r w:rsidRPr="00C34E49">
        <w:rPr>
          <w:rFonts w:cs="Arial"/>
          <w:i/>
          <w:smallCaps/>
          <w:noProof/>
          <w:szCs w:val="22"/>
        </w:rPr>
        <w:t>Sequence capture and next-generation resequencing of multiple tagged nucleic acid samples for mutation screening of urea cycle disorders.</w:t>
      </w:r>
      <w:r w:rsidRPr="00C34E49">
        <w:rPr>
          <w:rFonts w:cs="Arial"/>
          <w:smallCaps/>
          <w:noProof/>
          <w:szCs w:val="22"/>
        </w:rPr>
        <w:t xml:space="preserve"> Clin Chem, 2011. 57(1): p. 102-11.</w:t>
      </w:r>
      <w:bookmarkEnd w:id="79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80" w:name="_ENREF_78"/>
      <w:r w:rsidRPr="00C34E49">
        <w:rPr>
          <w:rFonts w:cs="Arial"/>
          <w:smallCaps/>
          <w:noProof/>
          <w:szCs w:val="22"/>
        </w:rPr>
        <w:t>78.</w:t>
      </w:r>
      <w:r w:rsidRPr="00C34E49">
        <w:rPr>
          <w:rFonts w:cs="Arial"/>
          <w:smallCaps/>
          <w:noProof/>
          <w:szCs w:val="22"/>
        </w:rPr>
        <w:tab/>
        <w:t xml:space="preserve">McMillan, H.J., et al., </w:t>
      </w:r>
      <w:r w:rsidRPr="00C34E49">
        <w:rPr>
          <w:rFonts w:cs="Arial"/>
          <w:i/>
          <w:smallCaps/>
          <w:noProof/>
          <w:szCs w:val="22"/>
        </w:rPr>
        <w:t>Compound heterozygous mutations in glycyl-tRNA synthetase are a proposed cause of systemic mitochondrial disease.</w:t>
      </w:r>
      <w:r w:rsidRPr="00C34E49">
        <w:rPr>
          <w:rFonts w:cs="Arial"/>
          <w:smallCaps/>
          <w:noProof/>
          <w:szCs w:val="22"/>
        </w:rPr>
        <w:t xml:space="preserve"> BMC Med Genet, 2014. 15(1): p. 36.</w:t>
      </w:r>
      <w:bookmarkEnd w:id="80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81" w:name="_ENREF_79"/>
      <w:r w:rsidRPr="00C34E49">
        <w:rPr>
          <w:rFonts w:cs="Arial"/>
          <w:smallCaps/>
          <w:noProof/>
          <w:szCs w:val="22"/>
        </w:rPr>
        <w:t>79.</w:t>
      </w:r>
      <w:r w:rsidRPr="00C34E49">
        <w:rPr>
          <w:rFonts w:cs="Arial"/>
          <w:smallCaps/>
          <w:noProof/>
          <w:szCs w:val="22"/>
        </w:rPr>
        <w:tab/>
        <w:t xml:space="preserve">Lieber, D.S., et al., </w:t>
      </w:r>
      <w:r w:rsidRPr="00C34E49">
        <w:rPr>
          <w:rFonts w:cs="Arial"/>
          <w:i/>
          <w:smallCaps/>
          <w:noProof/>
          <w:szCs w:val="22"/>
        </w:rPr>
        <w:t>Next generation sequencing with copy number variant detection expands the phenotypic spectrum of HSD17B4-deficiency.</w:t>
      </w:r>
      <w:r w:rsidRPr="00C34E49">
        <w:rPr>
          <w:rFonts w:cs="Arial"/>
          <w:smallCaps/>
          <w:noProof/>
          <w:szCs w:val="22"/>
        </w:rPr>
        <w:t xml:space="preserve"> BMC Med Genet, 2014. 15(1): p. 30.</w:t>
      </w:r>
      <w:bookmarkEnd w:id="81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82" w:name="_ENREF_80"/>
      <w:r w:rsidRPr="00C34E49">
        <w:rPr>
          <w:rFonts w:cs="Arial"/>
          <w:smallCaps/>
          <w:noProof/>
          <w:szCs w:val="22"/>
        </w:rPr>
        <w:t>80.</w:t>
      </w:r>
      <w:r w:rsidRPr="00C34E49">
        <w:rPr>
          <w:rFonts w:cs="Arial"/>
          <w:smallCaps/>
          <w:noProof/>
          <w:szCs w:val="22"/>
        </w:rPr>
        <w:tab/>
        <w:t xml:space="preserve">Prasad, R., et al., </w:t>
      </w:r>
      <w:r w:rsidRPr="00C34E49">
        <w:rPr>
          <w:rFonts w:cs="Arial"/>
          <w:i/>
          <w:smallCaps/>
          <w:noProof/>
          <w:szCs w:val="22"/>
        </w:rPr>
        <w:t>Thioredoxin reductase 2 (TXNRD2) mutation associated with familial glucocorticoid deficiency (FGD).</w:t>
      </w:r>
      <w:r w:rsidRPr="00C34E49">
        <w:rPr>
          <w:rFonts w:cs="Arial"/>
          <w:smallCaps/>
          <w:noProof/>
          <w:szCs w:val="22"/>
        </w:rPr>
        <w:t xml:space="preserve"> J Clin Endocrinol Metab, 2014: p. jc20133844.</w:t>
      </w:r>
      <w:bookmarkEnd w:id="82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83" w:name="_ENREF_81"/>
      <w:r w:rsidRPr="00C34E49">
        <w:rPr>
          <w:rFonts w:cs="Arial"/>
          <w:smallCaps/>
          <w:noProof/>
          <w:szCs w:val="22"/>
        </w:rPr>
        <w:t>81.</w:t>
      </w:r>
      <w:r w:rsidRPr="00C34E49">
        <w:rPr>
          <w:rFonts w:cs="Arial"/>
          <w:smallCaps/>
          <w:noProof/>
          <w:szCs w:val="22"/>
        </w:rPr>
        <w:tab/>
        <w:t xml:space="preserve">Poduri, A., et al., </w:t>
      </w:r>
      <w:r w:rsidRPr="00C34E49">
        <w:rPr>
          <w:rFonts w:cs="Arial"/>
          <w:i/>
          <w:smallCaps/>
          <w:noProof/>
          <w:szCs w:val="22"/>
        </w:rPr>
        <w:t>SLC25A22 is a novel gene for migrating partial seizures in infancy.</w:t>
      </w:r>
      <w:r w:rsidRPr="00C34E49">
        <w:rPr>
          <w:rFonts w:cs="Arial"/>
          <w:smallCaps/>
          <w:noProof/>
          <w:szCs w:val="22"/>
        </w:rPr>
        <w:t xml:space="preserve"> Ann Neurol, 2013. 74(6): p. 873-82.</w:t>
      </w:r>
      <w:bookmarkEnd w:id="83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84" w:name="_ENREF_82"/>
      <w:r w:rsidRPr="00C34E49">
        <w:rPr>
          <w:rFonts w:cs="Arial"/>
          <w:smallCaps/>
          <w:noProof/>
          <w:szCs w:val="22"/>
        </w:rPr>
        <w:t>82.</w:t>
      </w:r>
      <w:r w:rsidRPr="00C34E49">
        <w:rPr>
          <w:rFonts w:cs="Arial"/>
          <w:smallCaps/>
          <w:noProof/>
          <w:szCs w:val="22"/>
        </w:rPr>
        <w:tab/>
        <w:t xml:space="preserve">Falk, M.J., et al., </w:t>
      </w:r>
      <w:r w:rsidRPr="00C34E49">
        <w:rPr>
          <w:rFonts w:cs="Arial"/>
          <w:i/>
          <w:smallCaps/>
          <w:noProof/>
          <w:szCs w:val="22"/>
        </w:rPr>
        <w:t>AGC1 Deficiency Causes Infantile Epilepsy, Abnormal Myelination, and Reduced N-Acetylaspartate.</w:t>
      </w:r>
      <w:r w:rsidRPr="00C34E49">
        <w:rPr>
          <w:rFonts w:cs="Arial"/>
          <w:smallCaps/>
          <w:noProof/>
          <w:szCs w:val="22"/>
        </w:rPr>
        <w:t xml:space="preserve"> JIMD Rep, 2014.</w:t>
      </w:r>
      <w:bookmarkEnd w:id="84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85" w:name="_ENREF_83"/>
      <w:r w:rsidRPr="00C34E49">
        <w:rPr>
          <w:rFonts w:cs="Arial"/>
          <w:smallCaps/>
          <w:noProof/>
          <w:szCs w:val="22"/>
        </w:rPr>
        <w:t>83.</w:t>
      </w:r>
      <w:r w:rsidRPr="00C34E49">
        <w:rPr>
          <w:rFonts w:cs="Arial"/>
          <w:smallCaps/>
          <w:noProof/>
          <w:szCs w:val="22"/>
        </w:rPr>
        <w:tab/>
        <w:t xml:space="preserve">Farhan, S.M., et al., </w:t>
      </w:r>
      <w:r w:rsidRPr="00C34E49">
        <w:rPr>
          <w:rFonts w:cs="Arial"/>
          <w:i/>
          <w:smallCaps/>
          <w:noProof/>
          <w:szCs w:val="22"/>
        </w:rPr>
        <w:t>Exome sequencing identifies NFS1 deficiency in a novel Fe-S cluster disease, infantile mitochondrial complex II/III deficiency.</w:t>
      </w:r>
      <w:r w:rsidRPr="00C34E49">
        <w:rPr>
          <w:rFonts w:cs="Arial"/>
          <w:smallCaps/>
          <w:noProof/>
          <w:szCs w:val="22"/>
        </w:rPr>
        <w:t xml:space="preserve"> Mol Genet Genomic Med, 2014. 2(1): p. 73-80.</w:t>
      </w:r>
      <w:bookmarkEnd w:id="85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86" w:name="_ENREF_84"/>
      <w:r w:rsidRPr="00C34E49">
        <w:rPr>
          <w:rFonts w:cs="Arial"/>
          <w:smallCaps/>
          <w:noProof/>
          <w:szCs w:val="22"/>
        </w:rPr>
        <w:t>84.</w:t>
      </w:r>
      <w:r w:rsidRPr="00C34E49">
        <w:rPr>
          <w:rFonts w:cs="Arial"/>
          <w:smallCaps/>
          <w:noProof/>
          <w:szCs w:val="22"/>
        </w:rPr>
        <w:tab/>
        <w:t xml:space="preserve">Ohtake, A., et al., </w:t>
      </w:r>
      <w:r w:rsidRPr="00C34E49">
        <w:rPr>
          <w:rFonts w:cs="Arial"/>
          <w:i/>
          <w:smallCaps/>
          <w:noProof/>
          <w:szCs w:val="22"/>
        </w:rPr>
        <w:t>Diagnosis and molecular basis of mitochondrial respiratory chain disorders: Exome sequencing for disease gene identification.</w:t>
      </w:r>
      <w:r w:rsidRPr="00C34E49">
        <w:rPr>
          <w:rFonts w:cs="Arial"/>
          <w:smallCaps/>
          <w:noProof/>
          <w:szCs w:val="22"/>
        </w:rPr>
        <w:t xml:space="preserve"> Biochim Biophys Acta, 2014. 1840(4): p. 1355-9.</w:t>
      </w:r>
      <w:bookmarkEnd w:id="86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87" w:name="_ENREF_85"/>
      <w:r w:rsidRPr="00C34E49">
        <w:rPr>
          <w:rFonts w:cs="Arial"/>
          <w:smallCaps/>
          <w:noProof/>
          <w:szCs w:val="22"/>
        </w:rPr>
        <w:t>85.</w:t>
      </w:r>
      <w:r w:rsidRPr="00C34E49">
        <w:rPr>
          <w:rFonts w:cs="Arial"/>
          <w:smallCaps/>
          <w:noProof/>
          <w:szCs w:val="22"/>
        </w:rPr>
        <w:tab/>
        <w:t xml:space="preserve">Haack, T.B., et al., </w:t>
      </w:r>
      <w:r w:rsidRPr="00C34E49">
        <w:rPr>
          <w:rFonts w:cs="Arial"/>
          <w:i/>
          <w:smallCaps/>
          <w:noProof/>
          <w:szCs w:val="22"/>
        </w:rPr>
        <w:t>Phenotypic spectrum of eleven patients and five novel MTFMT mutations identified by exome sequencing and candidate gene screening.</w:t>
      </w:r>
      <w:r w:rsidRPr="00C34E49">
        <w:rPr>
          <w:rFonts w:cs="Arial"/>
          <w:smallCaps/>
          <w:noProof/>
          <w:szCs w:val="22"/>
        </w:rPr>
        <w:t xml:space="preserve"> Mol Genet Metab, 2014. 111(3): p. 342-52.</w:t>
      </w:r>
      <w:bookmarkEnd w:id="87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88" w:name="_ENREF_86"/>
      <w:r w:rsidRPr="00C34E49">
        <w:rPr>
          <w:rFonts w:cs="Arial"/>
          <w:smallCaps/>
          <w:noProof/>
          <w:szCs w:val="22"/>
        </w:rPr>
        <w:t>86.</w:t>
      </w:r>
      <w:r w:rsidRPr="00C34E49">
        <w:rPr>
          <w:rFonts w:cs="Arial"/>
          <w:smallCaps/>
          <w:noProof/>
          <w:szCs w:val="22"/>
        </w:rPr>
        <w:tab/>
        <w:t xml:space="preserve">Monies, D.M., et al., </w:t>
      </w:r>
      <w:r w:rsidRPr="00C34E49">
        <w:rPr>
          <w:rFonts w:cs="Arial"/>
          <w:i/>
          <w:smallCaps/>
          <w:noProof/>
          <w:szCs w:val="22"/>
        </w:rPr>
        <w:t>Clinical and pathological heterogeneity of a congenital disorder of glycosylation manifesting as a myasthenic/myopathic syndrome.</w:t>
      </w:r>
      <w:r w:rsidRPr="00C34E49">
        <w:rPr>
          <w:rFonts w:cs="Arial"/>
          <w:smallCaps/>
          <w:noProof/>
          <w:szCs w:val="22"/>
        </w:rPr>
        <w:t xml:space="preserve"> Neuromuscul Disord, 2014. 24(4): p. 353-9.</w:t>
      </w:r>
      <w:bookmarkEnd w:id="88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89" w:name="_ENREF_87"/>
      <w:r w:rsidRPr="00C34E49">
        <w:rPr>
          <w:rFonts w:cs="Arial"/>
          <w:smallCaps/>
          <w:noProof/>
          <w:szCs w:val="22"/>
        </w:rPr>
        <w:t>87.</w:t>
      </w:r>
      <w:r w:rsidRPr="00C34E49">
        <w:rPr>
          <w:rFonts w:cs="Arial"/>
          <w:smallCaps/>
          <w:noProof/>
          <w:szCs w:val="22"/>
        </w:rPr>
        <w:tab/>
        <w:t xml:space="preserve">Nakajima, J., et al., </w:t>
      </w:r>
      <w:r w:rsidRPr="00C34E49">
        <w:rPr>
          <w:rFonts w:cs="Arial"/>
          <w:i/>
          <w:smallCaps/>
          <w:noProof/>
          <w:szCs w:val="22"/>
        </w:rPr>
        <w:t>A novel homozygous YARS2 mutation causes severe myopathy, lactic acidosis, and sideroblastic anemia 2.</w:t>
      </w:r>
      <w:r w:rsidRPr="00C34E49">
        <w:rPr>
          <w:rFonts w:cs="Arial"/>
          <w:smallCaps/>
          <w:noProof/>
          <w:szCs w:val="22"/>
        </w:rPr>
        <w:t xml:space="preserve"> J Hum Genet, 2014.</w:t>
      </w:r>
      <w:bookmarkEnd w:id="89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90" w:name="_ENREF_88"/>
      <w:r w:rsidRPr="00C34E49">
        <w:rPr>
          <w:rFonts w:cs="Arial"/>
          <w:smallCaps/>
          <w:noProof/>
          <w:szCs w:val="22"/>
        </w:rPr>
        <w:t>88.</w:t>
      </w:r>
      <w:r w:rsidRPr="00C34E49">
        <w:rPr>
          <w:rFonts w:cs="Arial"/>
          <w:smallCaps/>
          <w:noProof/>
          <w:szCs w:val="22"/>
        </w:rPr>
        <w:tab/>
        <w:t xml:space="preserve">Spiegel, R., et al., </w:t>
      </w:r>
      <w:r w:rsidRPr="00C34E49">
        <w:rPr>
          <w:rFonts w:cs="Arial"/>
          <w:i/>
          <w:smallCaps/>
          <w:noProof/>
          <w:szCs w:val="22"/>
        </w:rPr>
        <w:t>Delineation of C12orf65-related phenotypes: a genotype-phenotype relationship.</w:t>
      </w:r>
      <w:r w:rsidRPr="00C34E49">
        <w:rPr>
          <w:rFonts w:cs="Arial"/>
          <w:smallCaps/>
          <w:noProof/>
          <w:szCs w:val="22"/>
        </w:rPr>
        <w:t xml:space="preserve"> Eur J Hum Genet, 2014.</w:t>
      </w:r>
      <w:bookmarkEnd w:id="90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91" w:name="_ENREF_89"/>
      <w:r w:rsidRPr="00C34E49">
        <w:rPr>
          <w:rFonts w:cs="Arial"/>
          <w:smallCaps/>
          <w:noProof/>
          <w:szCs w:val="22"/>
        </w:rPr>
        <w:lastRenderedPageBreak/>
        <w:t>89.</w:t>
      </w:r>
      <w:r w:rsidRPr="00C34E49">
        <w:rPr>
          <w:rFonts w:cs="Arial"/>
          <w:smallCaps/>
          <w:noProof/>
          <w:szCs w:val="22"/>
        </w:rPr>
        <w:tab/>
        <w:t xml:space="preserve">Boczonadi, V. and R. Horvath, </w:t>
      </w:r>
      <w:r w:rsidRPr="00C34E49">
        <w:rPr>
          <w:rFonts w:cs="Arial"/>
          <w:i/>
          <w:smallCaps/>
          <w:noProof/>
          <w:szCs w:val="22"/>
        </w:rPr>
        <w:t>Mitochondria: impaired mitochondrial translation in human disease.</w:t>
      </w:r>
      <w:r w:rsidRPr="00C34E49">
        <w:rPr>
          <w:rFonts w:cs="Arial"/>
          <w:smallCaps/>
          <w:noProof/>
          <w:szCs w:val="22"/>
        </w:rPr>
        <w:t xml:space="preserve"> Int J Biochem Cell Biol, 2014. 48: p. 77-84.</w:t>
      </w:r>
      <w:bookmarkEnd w:id="91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92" w:name="_ENREF_90"/>
      <w:r w:rsidRPr="00C34E49">
        <w:rPr>
          <w:rFonts w:cs="Arial"/>
          <w:smallCaps/>
          <w:noProof/>
          <w:szCs w:val="22"/>
        </w:rPr>
        <w:t>90.</w:t>
      </w:r>
      <w:r w:rsidRPr="00C34E49">
        <w:rPr>
          <w:rFonts w:cs="Arial"/>
          <w:smallCaps/>
          <w:noProof/>
          <w:szCs w:val="22"/>
        </w:rPr>
        <w:tab/>
        <w:t xml:space="preserve">Platt, J., R. Cox, and G.M. Enns, </w:t>
      </w:r>
      <w:r w:rsidRPr="00C34E49">
        <w:rPr>
          <w:rFonts w:cs="Arial"/>
          <w:i/>
          <w:smallCaps/>
          <w:noProof/>
          <w:szCs w:val="22"/>
        </w:rPr>
        <w:t>Points to Consider in the Clinical Use of NGS Panels for Mitochondrial Disease: An Analysis of Gene Inclusion and Consent Forms.</w:t>
      </w:r>
      <w:r w:rsidRPr="00C34E49">
        <w:rPr>
          <w:rFonts w:cs="Arial"/>
          <w:smallCaps/>
          <w:noProof/>
          <w:szCs w:val="22"/>
        </w:rPr>
        <w:t xml:space="preserve"> J Genet Couns, 2014.</w:t>
      </w:r>
      <w:bookmarkEnd w:id="92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93" w:name="_ENREF_91"/>
      <w:r w:rsidRPr="00C34E49">
        <w:rPr>
          <w:rFonts w:cs="Arial"/>
          <w:smallCaps/>
          <w:noProof/>
          <w:szCs w:val="22"/>
        </w:rPr>
        <w:t>91.</w:t>
      </w:r>
      <w:r w:rsidRPr="00C34E49">
        <w:rPr>
          <w:rFonts w:cs="Arial"/>
          <w:smallCaps/>
          <w:noProof/>
          <w:szCs w:val="22"/>
        </w:rPr>
        <w:tab/>
        <w:t xml:space="preserve">Morino, H., et al., </w:t>
      </w:r>
      <w:r w:rsidRPr="00C34E49">
        <w:rPr>
          <w:rFonts w:cs="Arial"/>
          <w:i/>
          <w:smallCaps/>
          <w:noProof/>
          <w:szCs w:val="22"/>
        </w:rPr>
        <w:t>Exome sequencing reveals a novel TTC19 mutation in an autosomal recessive spinocerebellar ataxia patient.</w:t>
      </w:r>
      <w:r w:rsidRPr="00C34E49">
        <w:rPr>
          <w:rFonts w:cs="Arial"/>
          <w:smallCaps/>
          <w:noProof/>
          <w:szCs w:val="22"/>
        </w:rPr>
        <w:t xml:space="preserve"> BMC Neurol, 2014. 14: p. 5.</w:t>
      </w:r>
      <w:bookmarkEnd w:id="93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94" w:name="_ENREF_92"/>
      <w:r w:rsidRPr="00C34E49">
        <w:rPr>
          <w:rFonts w:cs="Arial"/>
          <w:smallCaps/>
          <w:noProof/>
          <w:szCs w:val="22"/>
        </w:rPr>
        <w:t>92.</w:t>
      </w:r>
      <w:r w:rsidRPr="00C34E49">
        <w:rPr>
          <w:rFonts w:cs="Arial"/>
          <w:smallCaps/>
          <w:noProof/>
          <w:szCs w:val="22"/>
        </w:rPr>
        <w:tab/>
        <w:t xml:space="preserve">Soreze, Y., et al., </w:t>
      </w:r>
      <w:r w:rsidRPr="00C34E49">
        <w:rPr>
          <w:rFonts w:cs="Arial"/>
          <w:i/>
          <w:smallCaps/>
          <w:noProof/>
          <w:szCs w:val="22"/>
        </w:rPr>
        <w:t>Mutations in human lipoyltransferase gene LIPT1 cause a Leigh disease with secondary deficiency for pyruvate and alpha-ketoglutarate dehydrogenase.</w:t>
      </w:r>
      <w:r w:rsidRPr="00C34E49">
        <w:rPr>
          <w:rFonts w:cs="Arial"/>
          <w:smallCaps/>
          <w:noProof/>
          <w:szCs w:val="22"/>
        </w:rPr>
        <w:t xml:space="preserve"> Orphanet J Rare Dis, 2013. 8: p. 192.</w:t>
      </w:r>
      <w:bookmarkEnd w:id="94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95" w:name="_ENREF_93"/>
      <w:r w:rsidRPr="00C34E49">
        <w:rPr>
          <w:rFonts w:cs="Arial"/>
          <w:smallCaps/>
          <w:noProof/>
          <w:szCs w:val="22"/>
        </w:rPr>
        <w:t>93.</w:t>
      </w:r>
      <w:r w:rsidRPr="00C34E49">
        <w:rPr>
          <w:rFonts w:cs="Arial"/>
          <w:smallCaps/>
          <w:noProof/>
          <w:szCs w:val="22"/>
        </w:rPr>
        <w:tab/>
        <w:t xml:space="preserve">Logan, C.V., et al., </w:t>
      </w:r>
      <w:r w:rsidRPr="00C34E49">
        <w:rPr>
          <w:rFonts w:cs="Arial"/>
          <w:i/>
          <w:smallCaps/>
          <w:noProof/>
          <w:szCs w:val="22"/>
        </w:rPr>
        <w:t>Loss-of-function mutations in MICU1 cause a brain and muscle disorder linked to primary alterations in mitochondrial calcium signaling.</w:t>
      </w:r>
      <w:r w:rsidRPr="00C34E49">
        <w:rPr>
          <w:rFonts w:cs="Arial"/>
          <w:smallCaps/>
          <w:noProof/>
          <w:szCs w:val="22"/>
        </w:rPr>
        <w:t xml:space="preserve"> Nat Genet, 2014. 46(2): p. 188-93.</w:t>
      </w:r>
      <w:bookmarkEnd w:id="95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96" w:name="_ENREF_94"/>
      <w:r w:rsidRPr="00C34E49">
        <w:rPr>
          <w:rFonts w:cs="Arial"/>
          <w:smallCaps/>
          <w:noProof/>
          <w:szCs w:val="22"/>
        </w:rPr>
        <w:t>94.</w:t>
      </w:r>
      <w:r w:rsidRPr="00C34E49">
        <w:rPr>
          <w:rFonts w:cs="Arial"/>
          <w:smallCaps/>
          <w:noProof/>
          <w:szCs w:val="22"/>
        </w:rPr>
        <w:tab/>
        <w:t xml:space="preserve">Hong, Y.B., et al., </w:t>
      </w:r>
      <w:r w:rsidRPr="00C34E49">
        <w:rPr>
          <w:rFonts w:cs="Arial"/>
          <w:i/>
          <w:smallCaps/>
          <w:noProof/>
          <w:szCs w:val="22"/>
        </w:rPr>
        <w:t>A compound heterozygous mutation in HADHB gene causes an axonal Charcot-Marie-tooth disease.</w:t>
      </w:r>
      <w:r w:rsidRPr="00C34E49">
        <w:rPr>
          <w:rFonts w:cs="Arial"/>
          <w:smallCaps/>
          <w:noProof/>
          <w:szCs w:val="22"/>
        </w:rPr>
        <w:t xml:space="preserve"> BMC Med Genet, 2013. 14: p. 125.</w:t>
      </w:r>
      <w:bookmarkEnd w:id="96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97" w:name="_ENREF_95"/>
      <w:r w:rsidRPr="00C34E49">
        <w:rPr>
          <w:rFonts w:cs="Arial"/>
          <w:smallCaps/>
          <w:noProof/>
          <w:szCs w:val="22"/>
        </w:rPr>
        <w:t>95.</w:t>
      </w:r>
      <w:r w:rsidRPr="00C34E49">
        <w:rPr>
          <w:rFonts w:cs="Arial"/>
          <w:smallCaps/>
          <w:noProof/>
          <w:szCs w:val="22"/>
        </w:rPr>
        <w:tab/>
        <w:t xml:space="preserve">Girotto, G., et al., </w:t>
      </w:r>
      <w:r w:rsidRPr="00C34E49">
        <w:rPr>
          <w:rFonts w:cs="Arial"/>
          <w:i/>
          <w:smallCaps/>
          <w:noProof/>
          <w:szCs w:val="22"/>
        </w:rPr>
        <w:t>Linkage study and exome sequencing identify a BDP1 mutation associated with hereditary hearing loss.</w:t>
      </w:r>
      <w:r w:rsidRPr="00C34E49">
        <w:rPr>
          <w:rFonts w:cs="Arial"/>
          <w:smallCaps/>
          <w:noProof/>
          <w:szCs w:val="22"/>
        </w:rPr>
        <w:t xml:space="preserve"> PLoS One, 2013. 8(12): p. e80323.</w:t>
      </w:r>
      <w:bookmarkEnd w:id="97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98" w:name="_ENREF_96"/>
      <w:r w:rsidRPr="00C34E49">
        <w:rPr>
          <w:rFonts w:cs="Arial"/>
          <w:smallCaps/>
          <w:noProof/>
          <w:szCs w:val="22"/>
        </w:rPr>
        <w:t>96.</w:t>
      </w:r>
      <w:r w:rsidRPr="00C34E49">
        <w:rPr>
          <w:rFonts w:cs="Arial"/>
          <w:smallCaps/>
          <w:noProof/>
          <w:szCs w:val="22"/>
        </w:rPr>
        <w:tab/>
        <w:t xml:space="preserve">Ashraf, S., et al., </w:t>
      </w:r>
      <w:r w:rsidRPr="00C34E49">
        <w:rPr>
          <w:rFonts w:cs="Arial"/>
          <w:i/>
          <w:smallCaps/>
          <w:noProof/>
          <w:szCs w:val="22"/>
        </w:rPr>
        <w:t>ADCK4 mutations promote steroid-resistant nephrotic syndrome through CoQ10 biosynthesis disruption.</w:t>
      </w:r>
      <w:r w:rsidRPr="00C34E49">
        <w:rPr>
          <w:rFonts w:cs="Arial"/>
          <w:smallCaps/>
          <w:noProof/>
          <w:szCs w:val="22"/>
        </w:rPr>
        <w:t xml:space="preserve"> J Clin Invest, 2013. 123(12): p. 5179-89.</w:t>
      </w:r>
      <w:bookmarkEnd w:id="98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99" w:name="_ENREF_97"/>
      <w:r w:rsidRPr="00C34E49">
        <w:rPr>
          <w:rFonts w:cs="Arial"/>
          <w:smallCaps/>
          <w:noProof/>
          <w:szCs w:val="22"/>
        </w:rPr>
        <w:t>97.</w:t>
      </w:r>
      <w:r w:rsidRPr="00C34E49">
        <w:rPr>
          <w:rFonts w:cs="Arial"/>
          <w:smallCaps/>
          <w:noProof/>
          <w:szCs w:val="22"/>
        </w:rPr>
        <w:tab/>
        <w:t xml:space="preserve">Rosenthal, E.A., et al., </w:t>
      </w:r>
      <w:r w:rsidRPr="00C34E49">
        <w:rPr>
          <w:rFonts w:cs="Arial"/>
          <w:i/>
          <w:smallCaps/>
          <w:noProof/>
          <w:szCs w:val="22"/>
        </w:rPr>
        <w:t>Joint linkage and association analysis with exome sequence data implicates SLC25A40 in hypertriglyceridemia.</w:t>
      </w:r>
      <w:r w:rsidRPr="00C34E49">
        <w:rPr>
          <w:rFonts w:cs="Arial"/>
          <w:smallCaps/>
          <w:noProof/>
          <w:szCs w:val="22"/>
        </w:rPr>
        <w:t xml:space="preserve"> Am J Hum Genet, 2013. 93(6): p. 1035-45.</w:t>
      </w:r>
      <w:bookmarkEnd w:id="99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00" w:name="_ENREF_98"/>
      <w:r w:rsidRPr="00C34E49">
        <w:rPr>
          <w:rFonts w:cs="Arial"/>
          <w:smallCaps/>
          <w:noProof/>
          <w:szCs w:val="22"/>
        </w:rPr>
        <w:t>98.</w:t>
      </w:r>
      <w:r w:rsidRPr="00C34E49">
        <w:rPr>
          <w:rFonts w:cs="Arial"/>
          <w:smallCaps/>
          <w:noProof/>
          <w:szCs w:val="22"/>
        </w:rPr>
        <w:tab/>
        <w:t xml:space="preserve">Davit-Spraul, A., et al., </w:t>
      </w:r>
      <w:r w:rsidRPr="00C34E49">
        <w:rPr>
          <w:rFonts w:cs="Arial"/>
          <w:i/>
          <w:smallCaps/>
          <w:noProof/>
          <w:szCs w:val="22"/>
        </w:rPr>
        <w:t>Secondary Mitochondrial Respiratory Chain Defect Can Delay Accurate PFIC2 Diagnosis.</w:t>
      </w:r>
      <w:r w:rsidRPr="00C34E49">
        <w:rPr>
          <w:rFonts w:cs="Arial"/>
          <w:smallCaps/>
          <w:noProof/>
          <w:szCs w:val="22"/>
        </w:rPr>
        <w:t xml:space="preserve"> JIMD Rep, 2013.</w:t>
      </w:r>
      <w:bookmarkEnd w:id="100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01" w:name="_ENREF_99"/>
      <w:r w:rsidRPr="00C34E49">
        <w:rPr>
          <w:rFonts w:cs="Arial"/>
          <w:smallCaps/>
          <w:noProof/>
          <w:szCs w:val="22"/>
        </w:rPr>
        <w:t>99.</w:t>
      </w:r>
      <w:r w:rsidRPr="00C34E49">
        <w:rPr>
          <w:rFonts w:cs="Arial"/>
          <w:smallCaps/>
          <w:noProof/>
          <w:szCs w:val="22"/>
        </w:rPr>
        <w:tab/>
        <w:t xml:space="preserve">Tucci, A., et al., </w:t>
      </w:r>
      <w:r w:rsidRPr="00C34E49">
        <w:rPr>
          <w:rFonts w:cs="Arial"/>
          <w:i/>
          <w:smallCaps/>
          <w:noProof/>
          <w:szCs w:val="22"/>
        </w:rPr>
        <w:t>Novel C12orf65 mutations in patients with axonal neuropathy and optic atrophy.</w:t>
      </w:r>
      <w:r w:rsidRPr="00C34E49">
        <w:rPr>
          <w:rFonts w:cs="Arial"/>
          <w:smallCaps/>
          <w:noProof/>
          <w:szCs w:val="22"/>
        </w:rPr>
        <w:t xml:space="preserve"> J Neurol Neurosurg Psychiatry, 2013.</w:t>
      </w:r>
      <w:bookmarkEnd w:id="101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02" w:name="_ENREF_100"/>
      <w:r w:rsidRPr="00C34E49">
        <w:rPr>
          <w:rFonts w:cs="Arial"/>
          <w:smallCaps/>
          <w:noProof/>
          <w:szCs w:val="22"/>
        </w:rPr>
        <w:t>100.</w:t>
      </w:r>
      <w:r w:rsidRPr="00C34E49">
        <w:rPr>
          <w:rFonts w:cs="Arial"/>
          <w:smallCaps/>
          <w:noProof/>
          <w:szCs w:val="22"/>
        </w:rPr>
        <w:tab/>
        <w:t xml:space="preserve">Saisawat, P., et al., </w:t>
      </w:r>
      <w:r w:rsidRPr="00C34E49">
        <w:rPr>
          <w:rFonts w:cs="Arial"/>
          <w:i/>
          <w:smallCaps/>
          <w:noProof/>
          <w:szCs w:val="22"/>
        </w:rPr>
        <w:t>Whole-exome resequencing reveals recessive mutations in TRAP1 in individuals with CAKUT and VACTERL association.</w:t>
      </w:r>
      <w:r w:rsidRPr="00C34E49">
        <w:rPr>
          <w:rFonts w:cs="Arial"/>
          <w:smallCaps/>
          <w:noProof/>
          <w:szCs w:val="22"/>
        </w:rPr>
        <w:t xml:space="preserve"> Kidney Int, 2013.</w:t>
      </w:r>
      <w:bookmarkEnd w:id="102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03" w:name="_ENREF_101"/>
      <w:r w:rsidRPr="00C34E49">
        <w:rPr>
          <w:rFonts w:cs="Arial"/>
          <w:smallCaps/>
          <w:noProof/>
          <w:szCs w:val="22"/>
        </w:rPr>
        <w:t>101.</w:t>
      </w:r>
      <w:r w:rsidRPr="00C34E49">
        <w:rPr>
          <w:rFonts w:cs="Arial"/>
          <w:smallCaps/>
          <w:noProof/>
          <w:szCs w:val="22"/>
        </w:rPr>
        <w:tab/>
        <w:t xml:space="preserve">Carroll, C.J., V. Brilhante, and A. Suomalainen, </w:t>
      </w:r>
      <w:r w:rsidRPr="00C34E49">
        <w:rPr>
          <w:rFonts w:cs="Arial"/>
          <w:i/>
          <w:smallCaps/>
          <w:noProof/>
          <w:szCs w:val="22"/>
        </w:rPr>
        <w:t>Next-generation sequencing for mitochondrial disorders.</w:t>
      </w:r>
      <w:r w:rsidRPr="00C34E49">
        <w:rPr>
          <w:rFonts w:cs="Arial"/>
          <w:smallCaps/>
          <w:noProof/>
          <w:szCs w:val="22"/>
        </w:rPr>
        <w:t xml:space="preserve"> Br J Pharmacol, 2014. 171(8): p. 1837-53.</w:t>
      </w:r>
      <w:bookmarkEnd w:id="103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04" w:name="_ENREF_102"/>
      <w:r w:rsidRPr="00C34E49">
        <w:rPr>
          <w:rFonts w:cs="Arial"/>
          <w:smallCaps/>
          <w:noProof/>
          <w:szCs w:val="22"/>
        </w:rPr>
        <w:t>102.</w:t>
      </w:r>
      <w:r w:rsidRPr="00C34E49">
        <w:rPr>
          <w:rFonts w:cs="Arial"/>
          <w:smallCaps/>
          <w:noProof/>
          <w:szCs w:val="22"/>
        </w:rPr>
        <w:tab/>
        <w:t xml:space="preserve">Neveling, K., et al., </w:t>
      </w:r>
      <w:r w:rsidRPr="00C34E49">
        <w:rPr>
          <w:rFonts w:cs="Arial"/>
          <w:i/>
          <w:smallCaps/>
          <w:noProof/>
          <w:szCs w:val="22"/>
        </w:rPr>
        <w:t>A post-hoc comparison of the utility of sanger sequencing and exome sequencing for the diagnosis of heterogeneous diseases.</w:t>
      </w:r>
      <w:r w:rsidRPr="00C34E49">
        <w:rPr>
          <w:rFonts w:cs="Arial"/>
          <w:smallCaps/>
          <w:noProof/>
          <w:szCs w:val="22"/>
        </w:rPr>
        <w:t xml:space="preserve"> Hum Mutat, 2013. 34(12): p. 1721-6.</w:t>
      </w:r>
      <w:bookmarkEnd w:id="104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05" w:name="_ENREF_103"/>
      <w:r w:rsidRPr="00C34E49">
        <w:rPr>
          <w:rFonts w:cs="Arial"/>
          <w:smallCaps/>
          <w:noProof/>
          <w:szCs w:val="22"/>
        </w:rPr>
        <w:t>103.</w:t>
      </w:r>
      <w:r w:rsidRPr="00C34E49">
        <w:rPr>
          <w:rFonts w:cs="Arial"/>
          <w:smallCaps/>
          <w:noProof/>
          <w:szCs w:val="22"/>
        </w:rPr>
        <w:tab/>
        <w:t xml:space="preserve">Hildick-Smith, G.J., et al., </w:t>
      </w:r>
      <w:r w:rsidRPr="00C34E49">
        <w:rPr>
          <w:rFonts w:cs="Arial"/>
          <w:i/>
          <w:smallCaps/>
          <w:noProof/>
          <w:szCs w:val="22"/>
        </w:rPr>
        <w:t>Macrocytic anemia and mitochondriopathy resulting from a defect in sideroflexin 4.</w:t>
      </w:r>
      <w:r w:rsidRPr="00C34E49">
        <w:rPr>
          <w:rFonts w:cs="Arial"/>
          <w:smallCaps/>
          <w:noProof/>
          <w:szCs w:val="22"/>
        </w:rPr>
        <w:t xml:space="preserve"> Am J Hum Genet, 2013. 93(5): p. 906-14.</w:t>
      </w:r>
      <w:bookmarkEnd w:id="105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06" w:name="_ENREF_104"/>
      <w:r w:rsidRPr="00C34E49">
        <w:rPr>
          <w:rFonts w:cs="Arial"/>
          <w:smallCaps/>
          <w:noProof/>
          <w:szCs w:val="22"/>
        </w:rPr>
        <w:t>104.</w:t>
      </w:r>
      <w:r w:rsidRPr="00C34E49">
        <w:rPr>
          <w:rFonts w:cs="Arial"/>
          <w:smallCaps/>
          <w:noProof/>
          <w:szCs w:val="22"/>
        </w:rPr>
        <w:tab/>
        <w:t xml:space="preserve">Pitceathly, R.D., et al., </w:t>
      </w:r>
      <w:r w:rsidRPr="00C34E49">
        <w:rPr>
          <w:rFonts w:cs="Arial"/>
          <w:i/>
          <w:smallCaps/>
          <w:noProof/>
          <w:szCs w:val="22"/>
        </w:rPr>
        <w:t>COX10 mutations resulting in complex multisystem mitochondrial disease that remains stable into adulthood.</w:t>
      </w:r>
      <w:r w:rsidRPr="00C34E49">
        <w:rPr>
          <w:rFonts w:cs="Arial"/>
          <w:smallCaps/>
          <w:noProof/>
          <w:szCs w:val="22"/>
        </w:rPr>
        <w:t xml:space="preserve"> JAMA Neurol, 2013. 70(12): p. 1556-61.</w:t>
      </w:r>
      <w:bookmarkEnd w:id="106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07" w:name="_ENREF_105"/>
      <w:r w:rsidRPr="00C34E49">
        <w:rPr>
          <w:rFonts w:cs="Arial"/>
          <w:smallCaps/>
          <w:noProof/>
          <w:szCs w:val="22"/>
        </w:rPr>
        <w:t>105.</w:t>
      </w:r>
      <w:r w:rsidRPr="00C34E49">
        <w:rPr>
          <w:rFonts w:cs="Arial"/>
          <w:smallCaps/>
          <w:noProof/>
          <w:szCs w:val="22"/>
        </w:rPr>
        <w:tab/>
        <w:t xml:space="preserve">Imagawa, E., et al., </w:t>
      </w:r>
      <w:r w:rsidRPr="00C34E49">
        <w:rPr>
          <w:rFonts w:cs="Arial"/>
          <w:i/>
          <w:smallCaps/>
          <w:noProof/>
          <w:szCs w:val="22"/>
        </w:rPr>
        <w:t>A hemizygous GYG2 mutation and Leigh syndrome: a possible link?</w:t>
      </w:r>
      <w:r w:rsidRPr="00C34E49">
        <w:rPr>
          <w:rFonts w:cs="Arial"/>
          <w:smallCaps/>
          <w:noProof/>
          <w:szCs w:val="22"/>
        </w:rPr>
        <w:t xml:space="preserve"> Hum Genet, 2014. 133(2): p. 225-34.</w:t>
      </w:r>
      <w:bookmarkEnd w:id="107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08" w:name="_ENREF_106"/>
      <w:r w:rsidRPr="00C34E49">
        <w:rPr>
          <w:rFonts w:cs="Arial"/>
          <w:smallCaps/>
          <w:noProof/>
          <w:szCs w:val="22"/>
        </w:rPr>
        <w:t>106.</w:t>
      </w:r>
      <w:r w:rsidRPr="00C34E49">
        <w:rPr>
          <w:rFonts w:cs="Arial"/>
          <w:smallCaps/>
          <w:noProof/>
          <w:szCs w:val="22"/>
        </w:rPr>
        <w:tab/>
        <w:t xml:space="preserve">Gai, X., et al., </w:t>
      </w:r>
      <w:r w:rsidRPr="00C34E49">
        <w:rPr>
          <w:rFonts w:cs="Arial"/>
          <w:i/>
          <w:smallCaps/>
          <w:noProof/>
          <w:szCs w:val="22"/>
        </w:rPr>
        <w:t>Mutations in FBXL4, encoding a mitochondrial protein, cause early-onset mitochondrial encephalomyopathy.</w:t>
      </w:r>
      <w:r w:rsidRPr="00C34E49">
        <w:rPr>
          <w:rFonts w:cs="Arial"/>
          <w:smallCaps/>
          <w:noProof/>
          <w:szCs w:val="22"/>
        </w:rPr>
        <w:t xml:space="preserve"> Am J Hum Genet, 2013. 93(3): p. 482-95.</w:t>
      </w:r>
      <w:bookmarkEnd w:id="108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09" w:name="_ENREF_107"/>
      <w:r w:rsidRPr="00C34E49">
        <w:rPr>
          <w:rFonts w:cs="Arial"/>
          <w:smallCaps/>
          <w:noProof/>
          <w:szCs w:val="22"/>
        </w:rPr>
        <w:t>107.</w:t>
      </w:r>
      <w:r w:rsidRPr="00C34E49">
        <w:rPr>
          <w:rFonts w:cs="Arial"/>
          <w:smallCaps/>
          <w:noProof/>
          <w:szCs w:val="22"/>
        </w:rPr>
        <w:tab/>
        <w:t xml:space="preserve">Bonnen, P.E., et al., </w:t>
      </w:r>
      <w:r w:rsidRPr="00C34E49">
        <w:rPr>
          <w:rFonts w:cs="Arial"/>
          <w:i/>
          <w:smallCaps/>
          <w:noProof/>
          <w:szCs w:val="22"/>
        </w:rPr>
        <w:t>Mutations in FBXL4 cause mitochondrial encephalopathy and a disorder of mitochondrial DNA maintenance.</w:t>
      </w:r>
      <w:r w:rsidRPr="00C34E49">
        <w:rPr>
          <w:rFonts w:cs="Arial"/>
          <w:smallCaps/>
          <w:noProof/>
          <w:szCs w:val="22"/>
        </w:rPr>
        <w:t xml:space="preserve"> Am J Hum Genet, 2013. 93(3): p. 471-81.</w:t>
      </w:r>
      <w:bookmarkEnd w:id="109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10" w:name="_ENREF_108"/>
      <w:r w:rsidRPr="00C34E49">
        <w:rPr>
          <w:rFonts w:cs="Arial"/>
          <w:smallCaps/>
          <w:noProof/>
          <w:szCs w:val="22"/>
        </w:rPr>
        <w:t>108.</w:t>
      </w:r>
      <w:r w:rsidRPr="00C34E49">
        <w:rPr>
          <w:rFonts w:cs="Arial"/>
          <w:smallCaps/>
          <w:noProof/>
          <w:szCs w:val="22"/>
        </w:rPr>
        <w:tab/>
        <w:t xml:space="preserve">Craigen, W.J., et al., </w:t>
      </w:r>
      <w:r w:rsidRPr="00C34E49">
        <w:rPr>
          <w:rFonts w:cs="Arial"/>
          <w:i/>
          <w:smallCaps/>
          <w:noProof/>
          <w:szCs w:val="22"/>
        </w:rPr>
        <w:t>Exome sequencing of a patient with suspected mitochondrial disease reveals a likely multigenic etiology.</w:t>
      </w:r>
      <w:r w:rsidRPr="00C34E49">
        <w:rPr>
          <w:rFonts w:cs="Arial"/>
          <w:smallCaps/>
          <w:noProof/>
          <w:szCs w:val="22"/>
        </w:rPr>
        <w:t xml:space="preserve"> BMC Med Genet, 2013. 14: p. 83.</w:t>
      </w:r>
      <w:bookmarkEnd w:id="110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11" w:name="_ENREF_109"/>
      <w:r w:rsidRPr="00C34E49">
        <w:rPr>
          <w:rFonts w:cs="Arial"/>
          <w:smallCaps/>
          <w:noProof/>
          <w:szCs w:val="22"/>
        </w:rPr>
        <w:t>109.</w:t>
      </w:r>
      <w:r w:rsidRPr="00C34E49">
        <w:rPr>
          <w:rFonts w:cs="Arial"/>
          <w:smallCaps/>
          <w:noProof/>
          <w:szCs w:val="22"/>
        </w:rPr>
        <w:tab/>
        <w:t xml:space="preserve">Sarig, O., et al., </w:t>
      </w:r>
      <w:r w:rsidRPr="00C34E49">
        <w:rPr>
          <w:rFonts w:cs="Arial"/>
          <w:i/>
          <w:smallCaps/>
          <w:noProof/>
          <w:szCs w:val="22"/>
        </w:rPr>
        <w:t>Infantile mitochondrial hepatopathy is a cardinal feature of MEGDEL syndrome (3-methylglutaconic aciduria type IV with sensorineural deafness, encephalopathy and Leigh-like syndrome) caused by novel mutations in SERAC1.</w:t>
      </w:r>
      <w:r w:rsidRPr="00C34E49">
        <w:rPr>
          <w:rFonts w:cs="Arial"/>
          <w:smallCaps/>
          <w:noProof/>
          <w:szCs w:val="22"/>
        </w:rPr>
        <w:t xml:space="preserve"> Am J Med Genet A, 2013. 161(9): p. 2204-15.</w:t>
      </w:r>
      <w:bookmarkEnd w:id="111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12" w:name="_ENREF_110"/>
      <w:r w:rsidRPr="00C34E49">
        <w:rPr>
          <w:rFonts w:cs="Arial"/>
          <w:smallCaps/>
          <w:noProof/>
          <w:szCs w:val="22"/>
        </w:rPr>
        <w:t>110.</w:t>
      </w:r>
      <w:r w:rsidRPr="00C34E49">
        <w:rPr>
          <w:rFonts w:cs="Arial"/>
          <w:smallCaps/>
          <w:noProof/>
          <w:szCs w:val="22"/>
        </w:rPr>
        <w:tab/>
        <w:t xml:space="preserve">Proverbio, M.C., et al., </w:t>
      </w:r>
      <w:r w:rsidRPr="00C34E49">
        <w:rPr>
          <w:rFonts w:cs="Arial"/>
          <w:i/>
          <w:smallCaps/>
          <w:noProof/>
          <w:szCs w:val="22"/>
        </w:rPr>
        <w:t>Whole genome SNP genotyping and exome sequencing reveal novel genetic variants and putative causative genes in congenital hyperinsulinism.</w:t>
      </w:r>
      <w:r w:rsidRPr="00C34E49">
        <w:rPr>
          <w:rFonts w:cs="Arial"/>
          <w:smallCaps/>
          <w:noProof/>
          <w:szCs w:val="22"/>
        </w:rPr>
        <w:t xml:space="preserve"> PLoS One, 2013. 8(7): p. e68740.</w:t>
      </w:r>
      <w:bookmarkEnd w:id="112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13" w:name="_ENREF_111"/>
      <w:r w:rsidRPr="00C34E49">
        <w:rPr>
          <w:rFonts w:cs="Arial"/>
          <w:smallCaps/>
          <w:noProof/>
          <w:szCs w:val="22"/>
        </w:rPr>
        <w:t>111.</w:t>
      </w:r>
      <w:r w:rsidRPr="00C34E49">
        <w:rPr>
          <w:rFonts w:cs="Arial"/>
          <w:smallCaps/>
          <w:noProof/>
          <w:szCs w:val="22"/>
        </w:rPr>
        <w:tab/>
        <w:t xml:space="preserve">DiMauro, S., et al., </w:t>
      </w:r>
      <w:r w:rsidRPr="00C34E49">
        <w:rPr>
          <w:rFonts w:cs="Arial"/>
          <w:i/>
          <w:smallCaps/>
          <w:noProof/>
          <w:szCs w:val="22"/>
        </w:rPr>
        <w:t>The clinical maze of mitochondrial neurology.</w:t>
      </w:r>
      <w:r w:rsidRPr="00C34E49">
        <w:rPr>
          <w:rFonts w:cs="Arial"/>
          <w:smallCaps/>
          <w:noProof/>
          <w:szCs w:val="22"/>
        </w:rPr>
        <w:t xml:space="preserve"> Nat Rev Neurol, 2013. 9(8): p. 429-44.</w:t>
      </w:r>
      <w:bookmarkEnd w:id="113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14" w:name="_ENREF_112"/>
      <w:r w:rsidRPr="00C34E49">
        <w:rPr>
          <w:rFonts w:cs="Arial"/>
          <w:smallCaps/>
          <w:noProof/>
          <w:szCs w:val="22"/>
        </w:rPr>
        <w:lastRenderedPageBreak/>
        <w:t>112.</w:t>
      </w:r>
      <w:r w:rsidRPr="00C34E49">
        <w:rPr>
          <w:rFonts w:cs="Arial"/>
          <w:smallCaps/>
          <w:noProof/>
          <w:szCs w:val="22"/>
        </w:rPr>
        <w:tab/>
        <w:t xml:space="preserve">Persico, A.M. and V. Napolioni, </w:t>
      </w:r>
      <w:r w:rsidRPr="00C34E49">
        <w:rPr>
          <w:rFonts w:cs="Arial"/>
          <w:i/>
          <w:smallCaps/>
          <w:noProof/>
          <w:szCs w:val="22"/>
        </w:rPr>
        <w:t>Autism genetics.</w:t>
      </w:r>
      <w:r w:rsidRPr="00C34E49">
        <w:rPr>
          <w:rFonts w:cs="Arial"/>
          <w:smallCaps/>
          <w:noProof/>
          <w:szCs w:val="22"/>
        </w:rPr>
        <w:t xml:space="preserve"> Behav Brain Res, 2013. 251: p. 95-112.</w:t>
      </w:r>
      <w:bookmarkEnd w:id="114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15" w:name="_ENREF_113"/>
      <w:r w:rsidRPr="00C34E49">
        <w:rPr>
          <w:rFonts w:cs="Arial"/>
          <w:smallCaps/>
          <w:noProof/>
          <w:szCs w:val="22"/>
        </w:rPr>
        <w:t>113.</w:t>
      </w:r>
      <w:r w:rsidRPr="00C34E49">
        <w:rPr>
          <w:rFonts w:cs="Arial"/>
          <w:smallCaps/>
          <w:noProof/>
          <w:szCs w:val="22"/>
        </w:rPr>
        <w:tab/>
        <w:t xml:space="preserve">Pitceathly, R.D., et al., </w:t>
      </w:r>
      <w:r w:rsidRPr="00C34E49">
        <w:rPr>
          <w:rFonts w:cs="Arial"/>
          <w:i/>
          <w:smallCaps/>
          <w:noProof/>
          <w:szCs w:val="22"/>
        </w:rPr>
        <w:t>NDUFA4 mutations underlie dysfunction of a cytochrome c oxidase subunit linked to human neurological disease.</w:t>
      </w:r>
      <w:r w:rsidRPr="00C34E49">
        <w:rPr>
          <w:rFonts w:cs="Arial"/>
          <w:smallCaps/>
          <w:noProof/>
          <w:szCs w:val="22"/>
        </w:rPr>
        <w:t xml:space="preserve"> Cell Rep, 2013. 3(6): p. 1795-805.</w:t>
      </w:r>
      <w:bookmarkEnd w:id="115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16" w:name="_ENREF_114"/>
      <w:r w:rsidRPr="00C34E49">
        <w:rPr>
          <w:rFonts w:cs="Arial"/>
          <w:smallCaps/>
          <w:noProof/>
          <w:szCs w:val="22"/>
        </w:rPr>
        <w:t>114.</w:t>
      </w:r>
      <w:r w:rsidRPr="00C34E49">
        <w:rPr>
          <w:rFonts w:cs="Arial"/>
          <w:smallCaps/>
          <w:noProof/>
          <w:szCs w:val="22"/>
        </w:rPr>
        <w:tab/>
        <w:t xml:space="preserve">Haddad, D.M., et al., </w:t>
      </w:r>
      <w:r w:rsidRPr="00C34E49">
        <w:rPr>
          <w:rFonts w:cs="Arial"/>
          <w:i/>
          <w:smallCaps/>
          <w:noProof/>
          <w:szCs w:val="22"/>
        </w:rPr>
        <w:t>Mutations in the intellectual disability gene Ube2a cause neuronal dysfunction and impair parkin-dependent mitophagy.</w:t>
      </w:r>
      <w:r w:rsidRPr="00C34E49">
        <w:rPr>
          <w:rFonts w:cs="Arial"/>
          <w:smallCaps/>
          <w:noProof/>
          <w:szCs w:val="22"/>
        </w:rPr>
        <w:t xml:space="preserve"> Mol Cell, 2013. 50(6): p. 831-43.</w:t>
      </w:r>
      <w:bookmarkEnd w:id="116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17" w:name="_ENREF_115"/>
      <w:r w:rsidRPr="00C34E49">
        <w:rPr>
          <w:rFonts w:cs="Arial"/>
          <w:smallCaps/>
          <w:noProof/>
          <w:szCs w:val="22"/>
        </w:rPr>
        <w:t>115.</w:t>
      </w:r>
      <w:r w:rsidRPr="00C34E49">
        <w:rPr>
          <w:rFonts w:cs="Arial"/>
          <w:smallCaps/>
          <w:noProof/>
          <w:szCs w:val="22"/>
        </w:rPr>
        <w:tab/>
        <w:t xml:space="preserve">Tran-Viet, K.N., et al., </w:t>
      </w:r>
      <w:r w:rsidRPr="00C34E49">
        <w:rPr>
          <w:rFonts w:cs="Arial"/>
          <w:i/>
          <w:smallCaps/>
          <w:noProof/>
          <w:szCs w:val="22"/>
        </w:rPr>
        <w:t>Mutations in SCO2 are associated with autosomal-dominant high-grade myopia.</w:t>
      </w:r>
      <w:r w:rsidRPr="00C34E49">
        <w:rPr>
          <w:rFonts w:cs="Arial"/>
          <w:smallCaps/>
          <w:noProof/>
          <w:szCs w:val="22"/>
        </w:rPr>
        <w:t xml:space="preserve"> Am J Hum Genet, 2013. 92(5): p. 820-6.</w:t>
      </w:r>
      <w:bookmarkEnd w:id="117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18" w:name="_ENREF_116"/>
      <w:r w:rsidRPr="00C34E49">
        <w:rPr>
          <w:rFonts w:cs="Arial"/>
          <w:smallCaps/>
          <w:noProof/>
          <w:szCs w:val="22"/>
        </w:rPr>
        <w:t>116.</w:t>
      </w:r>
      <w:r w:rsidRPr="00C34E49">
        <w:rPr>
          <w:rFonts w:cs="Arial"/>
          <w:smallCaps/>
          <w:noProof/>
          <w:szCs w:val="22"/>
        </w:rPr>
        <w:tab/>
        <w:t xml:space="preserve">Dinwiddie, D.L., et al., </w:t>
      </w:r>
      <w:r w:rsidRPr="00C34E49">
        <w:rPr>
          <w:rFonts w:cs="Arial"/>
          <w:i/>
          <w:smallCaps/>
          <w:noProof/>
          <w:szCs w:val="22"/>
        </w:rPr>
        <w:t>Diagnosis of mitochondrial disorders by concomitant next-generation sequencing of the exome and mitochondrial genome.</w:t>
      </w:r>
      <w:r w:rsidRPr="00C34E49">
        <w:rPr>
          <w:rFonts w:cs="Arial"/>
          <w:smallCaps/>
          <w:noProof/>
          <w:szCs w:val="22"/>
        </w:rPr>
        <w:t xml:space="preserve"> Genomics, 2013. 102(3): p. 148-56.</w:t>
      </w:r>
      <w:bookmarkEnd w:id="118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19" w:name="_ENREF_117"/>
      <w:r w:rsidRPr="00C34E49">
        <w:rPr>
          <w:rFonts w:cs="Arial"/>
          <w:smallCaps/>
          <w:noProof/>
          <w:szCs w:val="22"/>
        </w:rPr>
        <w:t>117.</w:t>
      </w:r>
      <w:r w:rsidRPr="00C34E49">
        <w:rPr>
          <w:rFonts w:cs="Arial"/>
          <w:smallCaps/>
          <w:noProof/>
          <w:szCs w:val="22"/>
        </w:rPr>
        <w:tab/>
        <w:t xml:space="preserve">Jonckheere, A.I., et al., </w:t>
      </w:r>
      <w:r w:rsidRPr="00C34E49">
        <w:rPr>
          <w:rFonts w:cs="Arial"/>
          <w:i/>
          <w:smallCaps/>
          <w:noProof/>
          <w:szCs w:val="22"/>
        </w:rPr>
        <w:t>A complex V ATP5A1 defect causes fatal neonatal mitochondrial encephalopathy.</w:t>
      </w:r>
      <w:r w:rsidRPr="00C34E49">
        <w:rPr>
          <w:rFonts w:cs="Arial"/>
          <w:smallCaps/>
          <w:noProof/>
          <w:szCs w:val="22"/>
        </w:rPr>
        <w:t xml:space="preserve"> Brain, 2013. 136(Pt 5): p. 1544-54.</w:t>
      </w:r>
      <w:bookmarkEnd w:id="119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20" w:name="_ENREF_118"/>
      <w:r w:rsidRPr="00C34E49">
        <w:rPr>
          <w:rFonts w:cs="Arial"/>
          <w:smallCaps/>
          <w:noProof/>
          <w:szCs w:val="22"/>
        </w:rPr>
        <w:t>118.</w:t>
      </w:r>
      <w:r w:rsidRPr="00C34E49">
        <w:rPr>
          <w:rFonts w:cs="Arial"/>
          <w:smallCaps/>
          <w:noProof/>
          <w:szCs w:val="22"/>
        </w:rPr>
        <w:tab/>
        <w:t xml:space="preserve">Lieber, D.S., et al., </w:t>
      </w:r>
      <w:r w:rsidRPr="00C34E49">
        <w:rPr>
          <w:rFonts w:cs="Arial"/>
          <w:i/>
          <w:smallCaps/>
          <w:noProof/>
          <w:szCs w:val="22"/>
        </w:rPr>
        <w:t>Targeted exome sequencing of suspected mitochondrial disorders.</w:t>
      </w:r>
      <w:r w:rsidRPr="00C34E49">
        <w:rPr>
          <w:rFonts w:cs="Arial"/>
          <w:smallCaps/>
          <w:noProof/>
          <w:szCs w:val="22"/>
        </w:rPr>
        <w:t xml:space="preserve"> Neurology, 2013. 80(19): p. 1762-70.</w:t>
      </w:r>
      <w:bookmarkEnd w:id="120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21" w:name="_ENREF_119"/>
      <w:r w:rsidRPr="00C34E49">
        <w:rPr>
          <w:rFonts w:cs="Arial"/>
          <w:smallCaps/>
          <w:noProof/>
          <w:szCs w:val="22"/>
        </w:rPr>
        <w:t>119.</w:t>
      </w:r>
      <w:r w:rsidRPr="00C34E49">
        <w:rPr>
          <w:rFonts w:cs="Arial"/>
          <w:smallCaps/>
          <w:noProof/>
          <w:szCs w:val="22"/>
        </w:rPr>
        <w:tab/>
        <w:t xml:space="preserve">Nota, B., et al., </w:t>
      </w:r>
      <w:r w:rsidRPr="00C34E49">
        <w:rPr>
          <w:rFonts w:cs="Arial"/>
          <w:i/>
          <w:smallCaps/>
          <w:noProof/>
          <w:szCs w:val="22"/>
        </w:rPr>
        <w:t>Deficiency in SLC25A1, encoding the mitochondrial citrate carrier, causes combined D-2- and L-2-hydroxyglutaric aciduria.</w:t>
      </w:r>
      <w:r w:rsidRPr="00C34E49">
        <w:rPr>
          <w:rFonts w:cs="Arial"/>
          <w:smallCaps/>
          <w:noProof/>
          <w:szCs w:val="22"/>
        </w:rPr>
        <w:t xml:space="preserve"> Am J Hum Genet, 2013. 92(4): p. 627-31.</w:t>
      </w:r>
      <w:bookmarkEnd w:id="121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22" w:name="_ENREF_120"/>
      <w:r w:rsidRPr="00C34E49">
        <w:rPr>
          <w:rFonts w:cs="Arial"/>
          <w:smallCaps/>
          <w:noProof/>
          <w:szCs w:val="22"/>
        </w:rPr>
        <w:t>120.</w:t>
      </w:r>
      <w:r w:rsidRPr="00C34E49">
        <w:rPr>
          <w:rFonts w:cs="Arial"/>
          <w:smallCaps/>
          <w:noProof/>
          <w:szCs w:val="22"/>
        </w:rPr>
        <w:tab/>
        <w:t xml:space="preserve">Gonzalez, M., et al., </w:t>
      </w:r>
      <w:r w:rsidRPr="00C34E49">
        <w:rPr>
          <w:rFonts w:cs="Arial"/>
          <w:i/>
          <w:smallCaps/>
          <w:noProof/>
          <w:szCs w:val="22"/>
        </w:rPr>
        <w:t>Mutations in phospholipase DDHD2 cause autosomal recessive hereditary spastic paraplegia (SPG54).</w:t>
      </w:r>
      <w:r w:rsidRPr="00C34E49">
        <w:rPr>
          <w:rFonts w:cs="Arial"/>
          <w:smallCaps/>
          <w:noProof/>
          <w:szCs w:val="22"/>
        </w:rPr>
        <w:t xml:space="preserve"> Eur J Hum Genet, 2013. 21(11): p. 1214-8.</w:t>
      </w:r>
      <w:bookmarkEnd w:id="122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23" w:name="_ENREF_121"/>
      <w:r w:rsidRPr="00C34E49">
        <w:rPr>
          <w:rFonts w:cs="Arial"/>
          <w:smallCaps/>
          <w:noProof/>
          <w:szCs w:val="22"/>
        </w:rPr>
        <w:t>121.</w:t>
      </w:r>
      <w:r w:rsidRPr="00C34E49">
        <w:rPr>
          <w:rFonts w:cs="Arial"/>
          <w:smallCaps/>
          <w:noProof/>
          <w:szCs w:val="22"/>
        </w:rPr>
        <w:tab/>
        <w:t xml:space="preserve">Kevelam, S.H., et al., </w:t>
      </w:r>
      <w:r w:rsidRPr="00C34E49">
        <w:rPr>
          <w:rFonts w:cs="Arial"/>
          <w:i/>
          <w:smallCaps/>
          <w:noProof/>
          <w:szCs w:val="22"/>
        </w:rPr>
        <w:t>Exome sequencing reveals mutated SLC19A3 in patients with an early-infantile, lethal encephalopathy.</w:t>
      </w:r>
      <w:r w:rsidRPr="00C34E49">
        <w:rPr>
          <w:rFonts w:cs="Arial"/>
          <w:smallCaps/>
          <w:noProof/>
          <w:szCs w:val="22"/>
        </w:rPr>
        <w:t xml:space="preserve"> Brain, 2013. 136(Pt 5): p. 1534-43.</w:t>
      </w:r>
      <w:bookmarkEnd w:id="123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24" w:name="_ENREF_122"/>
      <w:r w:rsidRPr="00C34E49">
        <w:rPr>
          <w:rFonts w:cs="Arial"/>
          <w:smallCaps/>
          <w:noProof/>
          <w:szCs w:val="22"/>
        </w:rPr>
        <w:t>122.</w:t>
      </w:r>
      <w:r w:rsidRPr="00C34E49">
        <w:rPr>
          <w:rFonts w:cs="Arial"/>
          <w:smallCaps/>
          <w:noProof/>
          <w:szCs w:val="22"/>
        </w:rPr>
        <w:tab/>
        <w:t xml:space="preserve">Auranen, M., et al., </w:t>
      </w:r>
      <w:r w:rsidRPr="00C34E49">
        <w:rPr>
          <w:rFonts w:cs="Arial"/>
          <w:i/>
          <w:smallCaps/>
          <w:noProof/>
          <w:szCs w:val="22"/>
        </w:rPr>
        <w:t>Dominant GDAP1 founder mutation is a common cause of axonal Charcot-Marie-Tooth disease in Finland.</w:t>
      </w:r>
      <w:r w:rsidRPr="00C34E49">
        <w:rPr>
          <w:rFonts w:cs="Arial"/>
          <w:smallCaps/>
          <w:noProof/>
          <w:szCs w:val="22"/>
        </w:rPr>
        <w:t xml:space="preserve"> Neurogenetics, 2013. 14(2): p. 123-32.</w:t>
      </w:r>
      <w:bookmarkEnd w:id="124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25" w:name="_ENREF_123"/>
      <w:r w:rsidRPr="00C34E49">
        <w:rPr>
          <w:rFonts w:cs="Arial"/>
          <w:smallCaps/>
          <w:noProof/>
          <w:szCs w:val="22"/>
        </w:rPr>
        <w:t>123.</w:t>
      </w:r>
      <w:r w:rsidRPr="00C34E49">
        <w:rPr>
          <w:rFonts w:cs="Arial"/>
          <w:smallCaps/>
          <w:noProof/>
          <w:szCs w:val="22"/>
        </w:rPr>
        <w:tab/>
        <w:t xml:space="preserve">Marina, A.D., et al., </w:t>
      </w:r>
      <w:r w:rsidRPr="00C34E49">
        <w:rPr>
          <w:rFonts w:cs="Arial"/>
          <w:i/>
          <w:smallCaps/>
          <w:noProof/>
          <w:szCs w:val="22"/>
        </w:rPr>
        <w:t>NDUFS8-related Complex I Deficiency Extends Phenotype from "PEO Plus" to Leigh Syndrome.</w:t>
      </w:r>
      <w:r w:rsidRPr="00C34E49">
        <w:rPr>
          <w:rFonts w:cs="Arial"/>
          <w:smallCaps/>
          <w:noProof/>
          <w:szCs w:val="22"/>
        </w:rPr>
        <w:t xml:space="preserve"> JIMD Rep, 2013. 10: p. 17-22.</w:t>
      </w:r>
      <w:bookmarkEnd w:id="125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26" w:name="_ENREF_124"/>
      <w:r w:rsidRPr="00C34E49">
        <w:rPr>
          <w:rFonts w:cs="Arial"/>
          <w:smallCaps/>
          <w:noProof/>
          <w:szCs w:val="22"/>
        </w:rPr>
        <w:t>124.</w:t>
      </w:r>
      <w:r w:rsidRPr="00C34E49">
        <w:rPr>
          <w:rFonts w:cs="Arial"/>
          <w:smallCaps/>
          <w:noProof/>
          <w:szCs w:val="22"/>
        </w:rPr>
        <w:tab/>
        <w:t xml:space="preserve">Gerards, M., et al., </w:t>
      </w:r>
      <w:r w:rsidRPr="00C34E49">
        <w:rPr>
          <w:rFonts w:cs="Arial"/>
          <w:i/>
          <w:smallCaps/>
          <w:noProof/>
          <w:szCs w:val="22"/>
        </w:rPr>
        <w:t>Exome sequencing reveals a novel Moroccan founder mutation in SLC19A3 as a new cause of early-childhood fatal Leigh syndrome.</w:t>
      </w:r>
      <w:r w:rsidRPr="00C34E49">
        <w:rPr>
          <w:rFonts w:cs="Arial"/>
          <w:smallCaps/>
          <w:noProof/>
          <w:szCs w:val="22"/>
        </w:rPr>
        <w:t xml:space="preserve"> Brain, 2013. 136(Pt 3): p. 882-90.</w:t>
      </w:r>
      <w:bookmarkEnd w:id="126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27" w:name="_ENREF_125"/>
      <w:r w:rsidRPr="00C34E49">
        <w:rPr>
          <w:rFonts w:cs="Arial"/>
          <w:smallCaps/>
          <w:noProof/>
          <w:szCs w:val="22"/>
        </w:rPr>
        <w:t>125.</w:t>
      </w:r>
      <w:r w:rsidRPr="00C34E49">
        <w:rPr>
          <w:rFonts w:cs="Arial"/>
          <w:smallCaps/>
          <w:noProof/>
          <w:szCs w:val="22"/>
        </w:rPr>
        <w:tab/>
        <w:t xml:space="preserve">Edvardson, S., et al., </w:t>
      </w:r>
      <w:r w:rsidRPr="00C34E49">
        <w:rPr>
          <w:rFonts w:cs="Arial"/>
          <w:i/>
          <w:smallCaps/>
          <w:noProof/>
          <w:szCs w:val="22"/>
        </w:rPr>
        <w:t>Agenesis of corpus callosum and optic nerve hypoplasia due to mutations in SLC25A1 encoding the mitochondrial citrate transporter.</w:t>
      </w:r>
      <w:r w:rsidRPr="00C34E49">
        <w:rPr>
          <w:rFonts w:cs="Arial"/>
          <w:smallCaps/>
          <w:noProof/>
          <w:szCs w:val="22"/>
        </w:rPr>
        <w:t xml:space="preserve"> J Med Genet, 2013. 50(4): p. 240-5.</w:t>
      </w:r>
      <w:bookmarkEnd w:id="127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28" w:name="_ENREF_126"/>
      <w:r w:rsidRPr="00C34E49">
        <w:rPr>
          <w:rFonts w:cs="Arial"/>
          <w:smallCaps/>
          <w:noProof/>
          <w:szCs w:val="22"/>
        </w:rPr>
        <w:t>126.</w:t>
      </w:r>
      <w:r w:rsidRPr="00C34E49">
        <w:rPr>
          <w:rFonts w:cs="Arial"/>
          <w:smallCaps/>
          <w:noProof/>
          <w:szCs w:val="22"/>
        </w:rPr>
        <w:tab/>
        <w:t xml:space="preserve">Prasad, C., et al., </w:t>
      </w:r>
      <w:r w:rsidRPr="00C34E49">
        <w:rPr>
          <w:rFonts w:cs="Arial"/>
          <w:i/>
          <w:smallCaps/>
          <w:noProof/>
          <w:szCs w:val="22"/>
        </w:rPr>
        <w:t>Exome sequencing reveals a homozygous mutation in TWINKLE as the cause of multisystemic failure including renal tubulopathy in three siblings.</w:t>
      </w:r>
      <w:r w:rsidRPr="00C34E49">
        <w:rPr>
          <w:rFonts w:cs="Arial"/>
          <w:smallCaps/>
          <w:noProof/>
          <w:szCs w:val="22"/>
        </w:rPr>
        <w:t xml:space="preserve"> Mol Genet Metab, 2013. 108(3): p. 190-4.</w:t>
      </w:r>
      <w:bookmarkEnd w:id="128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29" w:name="_ENREF_127"/>
      <w:r w:rsidRPr="00C34E49">
        <w:rPr>
          <w:rFonts w:cs="Arial"/>
          <w:smallCaps/>
          <w:noProof/>
          <w:szCs w:val="22"/>
        </w:rPr>
        <w:t>127.</w:t>
      </w:r>
      <w:r w:rsidRPr="00C34E49">
        <w:rPr>
          <w:rFonts w:cs="Arial"/>
          <w:smallCaps/>
          <w:noProof/>
          <w:szCs w:val="22"/>
        </w:rPr>
        <w:tab/>
        <w:t xml:space="preserve">Sambuughin, N., et al., </w:t>
      </w:r>
      <w:r w:rsidRPr="00C34E49">
        <w:rPr>
          <w:rFonts w:cs="Arial"/>
          <w:i/>
          <w:smallCaps/>
          <w:noProof/>
          <w:szCs w:val="22"/>
        </w:rPr>
        <w:t>Exome sequencing reveals SCO2 mutations in a family presented with fatal infantile hyperthermia.</w:t>
      </w:r>
      <w:r w:rsidRPr="00C34E49">
        <w:rPr>
          <w:rFonts w:cs="Arial"/>
          <w:smallCaps/>
          <w:noProof/>
          <w:szCs w:val="22"/>
        </w:rPr>
        <w:t xml:space="preserve"> J Hum Genet, 2013. 58(4): p. 226-8.</w:t>
      </w:r>
      <w:bookmarkEnd w:id="129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30" w:name="_ENREF_128"/>
      <w:r w:rsidRPr="00C34E49">
        <w:rPr>
          <w:rFonts w:cs="Arial"/>
          <w:smallCaps/>
          <w:noProof/>
          <w:szCs w:val="22"/>
        </w:rPr>
        <w:t>128.</w:t>
      </w:r>
      <w:r w:rsidRPr="00C34E49">
        <w:rPr>
          <w:rFonts w:cs="Arial"/>
          <w:smallCaps/>
          <w:noProof/>
          <w:szCs w:val="22"/>
        </w:rPr>
        <w:tab/>
        <w:t xml:space="preserve">Kennerson, M.L., et al., </w:t>
      </w:r>
      <w:r w:rsidRPr="00C34E49">
        <w:rPr>
          <w:rFonts w:cs="Arial"/>
          <w:i/>
          <w:smallCaps/>
          <w:noProof/>
          <w:szCs w:val="22"/>
        </w:rPr>
        <w:t>A new locus for X-linked dominant Charcot-Marie-Tooth disease (CMTX6) is caused by mutations in the pyruvate dehydrogenase kinase isoenzyme 3 (PDK3) gene.</w:t>
      </w:r>
      <w:r w:rsidRPr="00C34E49">
        <w:rPr>
          <w:rFonts w:cs="Arial"/>
          <w:smallCaps/>
          <w:noProof/>
          <w:szCs w:val="22"/>
        </w:rPr>
        <w:t xml:space="preserve"> Hum Mol Genet, 2013. 22(7): p. 1404-16.</w:t>
      </w:r>
      <w:bookmarkEnd w:id="130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31" w:name="_ENREF_129"/>
      <w:r w:rsidRPr="00C34E49">
        <w:rPr>
          <w:rFonts w:cs="Arial"/>
          <w:smallCaps/>
          <w:noProof/>
          <w:szCs w:val="22"/>
        </w:rPr>
        <w:t>129.</w:t>
      </w:r>
      <w:r w:rsidRPr="00C34E49">
        <w:rPr>
          <w:rFonts w:cs="Arial"/>
          <w:smallCaps/>
          <w:noProof/>
          <w:szCs w:val="22"/>
        </w:rPr>
        <w:tab/>
        <w:t xml:space="preserve">Miyake, N., et al., </w:t>
      </w:r>
      <w:r w:rsidRPr="00C34E49">
        <w:rPr>
          <w:rFonts w:cs="Arial"/>
          <w:i/>
          <w:smallCaps/>
          <w:noProof/>
          <w:szCs w:val="22"/>
        </w:rPr>
        <w:t>Mitochondrial complex III deficiency caused by a homozygous UQCRC2 mutation presenting with neonatal-onset recurrent metabolic decompensation.</w:t>
      </w:r>
      <w:r w:rsidRPr="00C34E49">
        <w:rPr>
          <w:rFonts w:cs="Arial"/>
          <w:smallCaps/>
          <w:noProof/>
          <w:szCs w:val="22"/>
        </w:rPr>
        <w:t xml:space="preserve"> Hum Mutat, 2013. 34(3): p. 446-52.</w:t>
      </w:r>
      <w:bookmarkEnd w:id="131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32" w:name="_ENREF_130"/>
      <w:r w:rsidRPr="00C34E49">
        <w:rPr>
          <w:rFonts w:cs="Arial"/>
          <w:smallCaps/>
          <w:noProof/>
          <w:szCs w:val="22"/>
        </w:rPr>
        <w:t>130.</w:t>
      </w:r>
      <w:r w:rsidRPr="00C34E49">
        <w:rPr>
          <w:rFonts w:cs="Arial"/>
          <w:smallCaps/>
          <w:noProof/>
          <w:szCs w:val="22"/>
        </w:rPr>
        <w:tab/>
        <w:t xml:space="preserve">Lee, H.J., et al., </w:t>
      </w:r>
      <w:r w:rsidRPr="00C34E49">
        <w:rPr>
          <w:rFonts w:cs="Arial"/>
          <w:i/>
          <w:smallCaps/>
          <w:noProof/>
          <w:szCs w:val="22"/>
        </w:rPr>
        <w:t>Two novel mutations of GARS in Korean families with distal hereditary motor neuropathy type V.</w:t>
      </w:r>
      <w:r w:rsidRPr="00C34E49">
        <w:rPr>
          <w:rFonts w:cs="Arial"/>
          <w:smallCaps/>
          <w:noProof/>
          <w:szCs w:val="22"/>
        </w:rPr>
        <w:t xml:space="preserve"> J Peripher Nerv Syst, 2012. 17(4): p. 418-21.</w:t>
      </w:r>
      <w:bookmarkEnd w:id="132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33" w:name="_ENREF_131"/>
      <w:r w:rsidRPr="00C34E49">
        <w:rPr>
          <w:rFonts w:cs="Arial"/>
          <w:smallCaps/>
          <w:noProof/>
          <w:szCs w:val="22"/>
        </w:rPr>
        <w:t>131.</w:t>
      </w:r>
      <w:r w:rsidRPr="00C34E49">
        <w:rPr>
          <w:rFonts w:cs="Arial"/>
          <w:smallCaps/>
          <w:noProof/>
          <w:szCs w:val="22"/>
        </w:rPr>
        <w:tab/>
        <w:t xml:space="preserve">Falk, M.J., et al., </w:t>
      </w:r>
      <w:r w:rsidRPr="00C34E49">
        <w:rPr>
          <w:rFonts w:cs="Arial"/>
          <w:i/>
          <w:smallCaps/>
          <w:noProof/>
          <w:szCs w:val="22"/>
        </w:rPr>
        <w:t>Mitochondrial disease genetic diagnostics: optimized whole-exome analysis for all MitoCarta nuclear genes and the mitochondrial genome.</w:t>
      </w:r>
      <w:r w:rsidRPr="00C34E49">
        <w:rPr>
          <w:rFonts w:cs="Arial"/>
          <w:smallCaps/>
          <w:noProof/>
          <w:szCs w:val="22"/>
        </w:rPr>
        <w:t xml:space="preserve"> Discov Med, 2012. 14(79): p. 389-99.</w:t>
      </w:r>
      <w:bookmarkEnd w:id="133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34" w:name="_ENREF_132"/>
      <w:r w:rsidRPr="00C34E49">
        <w:rPr>
          <w:rFonts w:cs="Arial"/>
          <w:smallCaps/>
          <w:noProof/>
          <w:szCs w:val="22"/>
        </w:rPr>
        <w:t>132.</w:t>
      </w:r>
      <w:r w:rsidRPr="00C34E49">
        <w:rPr>
          <w:rFonts w:cs="Arial"/>
          <w:smallCaps/>
          <w:noProof/>
          <w:szCs w:val="22"/>
        </w:rPr>
        <w:tab/>
        <w:t xml:space="preserve">McCormick, E., E. Place, and M.J. Falk, </w:t>
      </w:r>
      <w:r w:rsidRPr="00C34E49">
        <w:rPr>
          <w:rFonts w:cs="Arial"/>
          <w:i/>
          <w:smallCaps/>
          <w:noProof/>
          <w:szCs w:val="22"/>
        </w:rPr>
        <w:t>Molecular genetic testing for mitochondrial disease: from one generation to the next.</w:t>
      </w:r>
      <w:r w:rsidRPr="00C34E49">
        <w:rPr>
          <w:rFonts w:cs="Arial"/>
          <w:smallCaps/>
          <w:noProof/>
          <w:szCs w:val="22"/>
        </w:rPr>
        <w:t xml:space="preserve"> Neurotherapeutics, 2013. 10(2): p. 251-61.</w:t>
      </w:r>
      <w:bookmarkEnd w:id="134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35" w:name="_ENREF_133"/>
      <w:r w:rsidRPr="00C34E49">
        <w:rPr>
          <w:rFonts w:cs="Arial"/>
          <w:smallCaps/>
          <w:noProof/>
          <w:szCs w:val="22"/>
        </w:rPr>
        <w:t>133.</w:t>
      </w:r>
      <w:r w:rsidRPr="00C34E49">
        <w:rPr>
          <w:rFonts w:cs="Arial"/>
          <w:smallCaps/>
          <w:noProof/>
          <w:szCs w:val="22"/>
        </w:rPr>
        <w:tab/>
        <w:t xml:space="preserve">Siriwardena, K., et al., </w:t>
      </w:r>
      <w:r w:rsidRPr="00C34E49">
        <w:rPr>
          <w:rFonts w:cs="Arial"/>
          <w:i/>
          <w:smallCaps/>
          <w:noProof/>
          <w:szCs w:val="22"/>
        </w:rPr>
        <w:t>Mitochondrial citrate synthase crystals: novel finding in Sengers syndrome caused by acylglycerol kinase (AGK) mutations.</w:t>
      </w:r>
      <w:r w:rsidRPr="00C34E49">
        <w:rPr>
          <w:rFonts w:cs="Arial"/>
          <w:smallCaps/>
          <w:noProof/>
          <w:szCs w:val="22"/>
        </w:rPr>
        <w:t xml:space="preserve"> Mol Genet Metab, 2013. 108(1): p. 40-50.</w:t>
      </w:r>
      <w:bookmarkEnd w:id="135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36" w:name="_ENREF_134"/>
      <w:r w:rsidRPr="00C34E49">
        <w:rPr>
          <w:rFonts w:cs="Arial"/>
          <w:smallCaps/>
          <w:noProof/>
          <w:szCs w:val="22"/>
        </w:rPr>
        <w:t>134.</w:t>
      </w:r>
      <w:r w:rsidRPr="00C34E49">
        <w:rPr>
          <w:rFonts w:cs="Arial"/>
          <w:smallCaps/>
          <w:noProof/>
          <w:szCs w:val="22"/>
        </w:rPr>
        <w:tab/>
        <w:t xml:space="preserve">Lindberg, J., et al., </w:t>
      </w:r>
      <w:r w:rsidRPr="00C34E49">
        <w:rPr>
          <w:rFonts w:cs="Arial"/>
          <w:i/>
          <w:smallCaps/>
          <w:noProof/>
          <w:szCs w:val="22"/>
        </w:rPr>
        <w:t>The mitochondrial and autosomal mutation landscapes of prostate cancer.</w:t>
      </w:r>
      <w:r w:rsidRPr="00C34E49">
        <w:rPr>
          <w:rFonts w:cs="Arial"/>
          <w:smallCaps/>
          <w:noProof/>
          <w:szCs w:val="22"/>
        </w:rPr>
        <w:t xml:space="preserve"> Eur Urol, 2013. 63(4): p. 702-8.</w:t>
      </w:r>
      <w:bookmarkEnd w:id="136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37" w:name="_ENREF_135"/>
      <w:r w:rsidRPr="00C34E49">
        <w:rPr>
          <w:rFonts w:cs="Arial"/>
          <w:smallCaps/>
          <w:noProof/>
          <w:szCs w:val="22"/>
        </w:rPr>
        <w:lastRenderedPageBreak/>
        <w:t>135.</w:t>
      </w:r>
      <w:r w:rsidRPr="00C34E49">
        <w:rPr>
          <w:rFonts w:cs="Arial"/>
          <w:smallCaps/>
          <w:noProof/>
          <w:szCs w:val="22"/>
        </w:rPr>
        <w:tab/>
        <w:t xml:space="preserve">Rinaldi, C., et al., </w:t>
      </w:r>
      <w:r w:rsidRPr="00C34E49">
        <w:rPr>
          <w:rFonts w:cs="Arial"/>
          <w:i/>
          <w:smallCaps/>
          <w:noProof/>
          <w:szCs w:val="22"/>
        </w:rPr>
        <w:t>Cowchock syndrome is associated with a mutation in apoptosis-inducing factor.</w:t>
      </w:r>
      <w:r w:rsidRPr="00C34E49">
        <w:rPr>
          <w:rFonts w:cs="Arial"/>
          <w:smallCaps/>
          <w:noProof/>
          <w:szCs w:val="22"/>
        </w:rPr>
        <w:t xml:space="preserve"> Am J Hum Genet, 2012. 91(6): p. 1095-102.</w:t>
      </w:r>
      <w:bookmarkEnd w:id="137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38" w:name="_ENREF_136"/>
      <w:r w:rsidRPr="00C34E49">
        <w:rPr>
          <w:rFonts w:cs="Arial"/>
          <w:smallCaps/>
          <w:noProof/>
          <w:szCs w:val="22"/>
        </w:rPr>
        <w:t>136.</w:t>
      </w:r>
      <w:r w:rsidRPr="00C34E49">
        <w:rPr>
          <w:rFonts w:cs="Arial"/>
          <w:smallCaps/>
          <w:noProof/>
          <w:szCs w:val="22"/>
        </w:rPr>
        <w:tab/>
        <w:t xml:space="preserve">Keogh, M.J. and P.F. Chinnery, </w:t>
      </w:r>
      <w:r w:rsidRPr="00C34E49">
        <w:rPr>
          <w:rFonts w:cs="Arial"/>
          <w:i/>
          <w:smallCaps/>
          <w:noProof/>
          <w:szCs w:val="22"/>
        </w:rPr>
        <w:t>Next generation sequencing for neurological diseases: new hope or new hype?</w:t>
      </w:r>
      <w:r w:rsidRPr="00C34E49">
        <w:rPr>
          <w:rFonts w:cs="Arial"/>
          <w:smallCaps/>
          <w:noProof/>
          <w:szCs w:val="22"/>
        </w:rPr>
        <w:t xml:space="preserve"> Clin Neurol Neurosurg, 2013. 115(7): p. 948-53.</w:t>
      </w:r>
      <w:bookmarkEnd w:id="138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39" w:name="_ENREF_137"/>
      <w:r w:rsidRPr="00C34E49">
        <w:rPr>
          <w:rFonts w:cs="Arial"/>
          <w:smallCaps/>
          <w:noProof/>
          <w:szCs w:val="22"/>
        </w:rPr>
        <w:t>137.</w:t>
      </w:r>
      <w:r w:rsidRPr="00C34E49">
        <w:rPr>
          <w:rFonts w:cs="Arial"/>
          <w:smallCaps/>
          <w:noProof/>
          <w:szCs w:val="22"/>
        </w:rPr>
        <w:tab/>
        <w:t xml:space="preserve">Janer, A., et al., </w:t>
      </w:r>
      <w:r w:rsidRPr="00C34E49">
        <w:rPr>
          <w:rFonts w:cs="Arial"/>
          <w:i/>
          <w:smallCaps/>
          <w:noProof/>
          <w:szCs w:val="22"/>
        </w:rPr>
        <w:t>An RMND1 Mutation causes encephalopathy associated with multiple oxidative phosphorylation complex deficiencies and a mitochondrial translation defect.</w:t>
      </w:r>
      <w:r w:rsidRPr="00C34E49">
        <w:rPr>
          <w:rFonts w:cs="Arial"/>
          <w:smallCaps/>
          <w:noProof/>
          <w:szCs w:val="22"/>
        </w:rPr>
        <w:t xml:space="preserve"> Am J Hum Genet, 2012. 91(4): p. 737-43.</w:t>
      </w:r>
      <w:bookmarkEnd w:id="139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40" w:name="_ENREF_138"/>
      <w:r w:rsidRPr="00C34E49">
        <w:rPr>
          <w:rFonts w:cs="Arial"/>
          <w:smallCaps/>
          <w:noProof/>
          <w:szCs w:val="22"/>
        </w:rPr>
        <w:t>138.</w:t>
      </w:r>
      <w:r w:rsidRPr="00C34E49">
        <w:rPr>
          <w:rFonts w:cs="Arial"/>
          <w:smallCaps/>
          <w:noProof/>
          <w:szCs w:val="22"/>
        </w:rPr>
        <w:tab/>
        <w:t xml:space="preserve">Lamperti, C., et al., </w:t>
      </w:r>
      <w:r w:rsidRPr="00C34E49">
        <w:rPr>
          <w:rFonts w:cs="Arial"/>
          <w:i/>
          <w:smallCaps/>
          <w:noProof/>
          <w:szCs w:val="22"/>
        </w:rPr>
        <w:t>A novel homozygous mutation in SUCLA2 gene identified by exome sequencing.</w:t>
      </w:r>
      <w:r w:rsidRPr="00C34E49">
        <w:rPr>
          <w:rFonts w:cs="Arial"/>
          <w:smallCaps/>
          <w:noProof/>
          <w:szCs w:val="22"/>
        </w:rPr>
        <w:t xml:space="preserve"> Mol Genet Metab, 2012. 107(3): p. 403-8.</w:t>
      </w:r>
      <w:bookmarkEnd w:id="140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41" w:name="_ENREF_139"/>
      <w:r w:rsidRPr="00C34E49">
        <w:rPr>
          <w:rFonts w:cs="Arial"/>
          <w:smallCaps/>
          <w:noProof/>
          <w:szCs w:val="22"/>
        </w:rPr>
        <w:t>139.</w:t>
      </w:r>
      <w:r w:rsidRPr="00C34E49">
        <w:rPr>
          <w:rFonts w:cs="Arial"/>
          <w:smallCaps/>
          <w:noProof/>
          <w:szCs w:val="22"/>
        </w:rPr>
        <w:tab/>
        <w:t xml:space="preserve">Garone, C., et al., </w:t>
      </w:r>
      <w:r w:rsidRPr="00C34E49">
        <w:rPr>
          <w:rFonts w:cs="Arial"/>
          <w:i/>
          <w:smallCaps/>
          <w:noProof/>
          <w:szCs w:val="22"/>
        </w:rPr>
        <w:t>MPV17 Mutations Causing Adult-Onset Multisystemic Disorder With Multiple Mitochondrial DNA Deletions.</w:t>
      </w:r>
      <w:r w:rsidRPr="00C34E49">
        <w:rPr>
          <w:rFonts w:cs="Arial"/>
          <w:smallCaps/>
          <w:noProof/>
          <w:szCs w:val="22"/>
        </w:rPr>
        <w:t xml:space="preserve"> Arch Neurol, 2012. 69(12): p. 1648-51.</w:t>
      </w:r>
      <w:bookmarkEnd w:id="141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42" w:name="_ENREF_140"/>
      <w:r w:rsidRPr="00C34E49">
        <w:rPr>
          <w:rFonts w:cs="Arial"/>
          <w:smallCaps/>
          <w:noProof/>
          <w:szCs w:val="22"/>
        </w:rPr>
        <w:t>140.</w:t>
      </w:r>
      <w:r w:rsidRPr="00C34E49">
        <w:rPr>
          <w:rFonts w:cs="Arial"/>
          <w:smallCaps/>
          <w:noProof/>
          <w:szCs w:val="22"/>
        </w:rPr>
        <w:tab/>
        <w:t xml:space="preserve">Eschenbacher, W.H., et al., </w:t>
      </w:r>
      <w:r w:rsidRPr="00C34E49">
        <w:rPr>
          <w:rFonts w:cs="Arial"/>
          <w:i/>
          <w:smallCaps/>
          <w:noProof/>
          <w:szCs w:val="22"/>
        </w:rPr>
        <w:t>Two rare human mitofusin 2 mutations alter mitochondrial dynamics and induce retinal and cardiac pathology in Drosophila.</w:t>
      </w:r>
      <w:r w:rsidRPr="00C34E49">
        <w:rPr>
          <w:rFonts w:cs="Arial"/>
          <w:smallCaps/>
          <w:noProof/>
          <w:szCs w:val="22"/>
        </w:rPr>
        <w:t xml:space="preserve"> PLoS One, 2012. 7(9): p. e44296.</w:t>
      </w:r>
      <w:bookmarkEnd w:id="142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43" w:name="_ENREF_141"/>
      <w:r w:rsidRPr="00C34E49">
        <w:rPr>
          <w:rFonts w:cs="Arial"/>
          <w:smallCaps/>
          <w:noProof/>
          <w:szCs w:val="22"/>
        </w:rPr>
        <w:t>141.</w:t>
      </w:r>
      <w:r w:rsidRPr="00C34E49">
        <w:rPr>
          <w:rFonts w:cs="Arial"/>
          <w:smallCaps/>
          <w:noProof/>
          <w:szCs w:val="22"/>
        </w:rPr>
        <w:tab/>
        <w:t xml:space="preserve">Elo, J.M., et al., </w:t>
      </w:r>
      <w:r w:rsidRPr="00C34E49">
        <w:rPr>
          <w:rFonts w:cs="Arial"/>
          <w:i/>
          <w:smallCaps/>
          <w:noProof/>
          <w:szCs w:val="22"/>
        </w:rPr>
        <w:t>Mitochondrial phenylalanyl-tRNA synthetase mutations underlie fatal infantile Alpers encephalopathy.</w:t>
      </w:r>
      <w:r w:rsidRPr="00C34E49">
        <w:rPr>
          <w:rFonts w:cs="Arial"/>
          <w:smallCaps/>
          <w:noProof/>
          <w:szCs w:val="22"/>
        </w:rPr>
        <w:t xml:space="preserve"> Hum Mol Genet, 2012. 21(20): p. 4521-9.</w:t>
      </w:r>
      <w:bookmarkEnd w:id="143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44" w:name="_ENREF_142"/>
      <w:r w:rsidRPr="00C34E49">
        <w:rPr>
          <w:rFonts w:cs="Arial"/>
          <w:smallCaps/>
          <w:noProof/>
          <w:szCs w:val="22"/>
        </w:rPr>
        <w:t>142.</w:t>
      </w:r>
      <w:r w:rsidRPr="00C34E49">
        <w:rPr>
          <w:rFonts w:cs="Arial"/>
          <w:smallCaps/>
          <w:noProof/>
          <w:szCs w:val="22"/>
        </w:rPr>
        <w:tab/>
        <w:t xml:space="preserve">Li, X., H. Zou, and W.T. Brown, </w:t>
      </w:r>
      <w:r w:rsidRPr="00C34E49">
        <w:rPr>
          <w:rFonts w:cs="Arial"/>
          <w:i/>
          <w:smallCaps/>
          <w:noProof/>
          <w:szCs w:val="22"/>
        </w:rPr>
        <w:t>Genes associated with autism spectrum disorder.</w:t>
      </w:r>
      <w:r w:rsidRPr="00C34E49">
        <w:rPr>
          <w:rFonts w:cs="Arial"/>
          <w:smallCaps/>
          <w:noProof/>
          <w:szCs w:val="22"/>
        </w:rPr>
        <w:t xml:space="preserve"> Brain Res Bull, 2012. 88(6): p. 543-52.</w:t>
      </w:r>
      <w:bookmarkEnd w:id="144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45" w:name="_ENREF_143"/>
      <w:r w:rsidRPr="00C34E49">
        <w:rPr>
          <w:rFonts w:cs="Arial"/>
          <w:smallCaps/>
          <w:noProof/>
          <w:szCs w:val="22"/>
        </w:rPr>
        <w:t>143.</w:t>
      </w:r>
      <w:r w:rsidRPr="00C34E49">
        <w:rPr>
          <w:rFonts w:cs="Arial"/>
          <w:smallCaps/>
          <w:noProof/>
          <w:szCs w:val="22"/>
        </w:rPr>
        <w:tab/>
        <w:t xml:space="preserve">Zhao, Q., et al., </w:t>
      </w:r>
      <w:r w:rsidRPr="00C34E49">
        <w:rPr>
          <w:rFonts w:cs="Arial"/>
          <w:i/>
          <w:smallCaps/>
          <w:noProof/>
          <w:szCs w:val="22"/>
        </w:rPr>
        <w:t>Rare inborn errors associated with chronic hepatitis B virus infection.</w:t>
      </w:r>
      <w:r w:rsidRPr="00C34E49">
        <w:rPr>
          <w:rFonts w:cs="Arial"/>
          <w:smallCaps/>
          <w:noProof/>
          <w:szCs w:val="22"/>
        </w:rPr>
        <w:t xml:space="preserve"> Hepatology, 2012. 56(5): p. 1661-70.</w:t>
      </w:r>
      <w:bookmarkEnd w:id="145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46" w:name="_ENREF_144"/>
      <w:r w:rsidRPr="00C34E49">
        <w:rPr>
          <w:rFonts w:cs="Arial"/>
          <w:smallCaps/>
          <w:noProof/>
          <w:szCs w:val="22"/>
        </w:rPr>
        <w:t>144.</w:t>
      </w:r>
      <w:r w:rsidRPr="00C34E49">
        <w:rPr>
          <w:rFonts w:cs="Arial"/>
          <w:smallCaps/>
          <w:noProof/>
          <w:szCs w:val="22"/>
        </w:rPr>
        <w:tab/>
        <w:t xml:space="preserve">Casey, J.P., et al., </w:t>
      </w:r>
      <w:r w:rsidRPr="00C34E49">
        <w:rPr>
          <w:rFonts w:cs="Arial"/>
          <w:i/>
          <w:smallCaps/>
          <w:noProof/>
          <w:szCs w:val="22"/>
        </w:rPr>
        <w:t>Identification of a mutation in LARS as a novel cause of infantile hepatopathy.</w:t>
      </w:r>
      <w:r w:rsidRPr="00C34E49">
        <w:rPr>
          <w:rFonts w:cs="Arial"/>
          <w:smallCaps/>
          <w:noProof/>
          <w:szCs w:val="22"/>
        </w:rPr>
        <w:t xml:space="preserve"> Mol Genet Metab, 2012. 106(3): p. 351-8.</w:t>
      </w:r>
      <w:bookmarkEnd w:id="146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47" w:name="_ENREF_145"/>
      <w:r w:rsidRPr="00C34E49">
        <w:rPr>
          <w:rFonts w:cs="Arial"/>
          <w:smallCaps/>
          <w:noProof/>
          <w:szCs w:val="22"/>
        </w:rPr>
        <w:t>145.</w:t>
      </w:r>
      <w:r w:rsidRPr="00C34E49">
        <w:rPr>
          <w:rFonts w:cs="Arial"/>
          <w:smallCaps/>
          <w:noProof/>
          <w:szCs w:val="22"/>
        </w:rPr>
        <w:tab/>
        <w:t xml:space="preserve">Haack, T.B., et al., </w:t>
      </w:r>
      <w:r w:rsidRPr="00C34E49">
        <w:rPr>
          <w:rFonts w:cs="Arial"/>
          <w:i/>
          <w:smallCaps/>
          <w:noProof/>
          <w:szCs w:val="22"/>
        </w:rPr>
        <w:t>Homozygous missense mutation in BOLA3 causes multiple mitochondrial dysfunctions syndrome in two siblings.</w:t>
      </w:r>
      <w:r w:rsidRPr="00C34E49">
        <w:rPr>
          <w:rFonts w:cs="Arial"/>
          <w:smallCaps/>
          <w:noProof/>
          <w:szCs w:val="22"/>
        </w:rPr>
        <w:t xml:space="preserve"> J Inherit Metab Dis, 2013. 36(1): p. 55-62.</w:t>
      </w:r>
      <w:bookmarkEnd w:id="147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48" w:name="_ENREF_146"/>
      <w:r w:rsidRPr="00C34E49">
        <w:rPr>
          <w:rFonts w:cs="Arial"/>
          <w:smallCaps/>
          <w:noProof/>
          <w:szCs w:val="22"/>
        </w:rPr>
        <w:t>146.</w:t>
      </w:r>
      <w:r w:rsidRPr="00C34E49">
        <w:rPr>
          <w:rFonts w:cs="Arial"/>
          <w:smallCaps/>
          <w:noProof/>
          <w:szCs w:val="22"/>
        </w:rPr>
        <w:tab/>
        <w:t xml:space="preserve">Sailer, A. and H. Houlden, </w:t>
      </w:r>
      <w:r w:rsidRPr="00C34E49">
        <w:rPr>
          <w:rFonts w:cs="Arial"/>
          <w:i/>
          <w:smallCaps/>
          <w:noProof/>
          <w:szCs w:val="22"/>
        </w:rPr>
        <w:t>Recent advances in the genetics of cerebellar ataxias.</w:t>
      </w:r>
      <w:r w:rsidRPr="00C34E49">
        <w:rPr>
          <w:rFonts w:cs="Arial"/>
          <w:smallCaps/>
          <w:noProof/>
          <w:szCs w:val="22"/>
        </w:rPr>
        <w:t xml:space="preserve"> Curr Neurol Neurosci Rep, 2012. 12(3): p. 227-36.</w:t>
      </w:r>
      <w:bookmarkEnd w:id="148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49" w:name="_ENREF_147"/>
      <w:r w:rsidRPr="00C34E49">
        <w:rPr>
          <w:rFonts w:cs="Arial"/>
          <w:smallCaps/>
          <w:noProof/>
          <w:szCs w:val="22"/>
        </w:rPr>
        <w:t>147.</w:t>
      </w:r>
      <w:r w:rsidRPr="00C34E49">
        <w:rPr>
          <w:rFonts w:cs="Arial"/>
          <w:smallCaps/>
          <w:noProof/>
          <w:szCs w:val="22"/>
        </w:rPr>
        <w:tab/>
        <w:t xml:space="preserve">Horvath, R., et al., </w:t>
      </w:r>
      <w:r w:rsidRPr="00C34E49">
        <w:rPr>
          <w:rFonts w:cs="Arial"/>
          <w:i/>
          <w:smallCaps/>
          <w:noProof/>
          <w:szCs w:val="22"/>
        </w:rPr>
        <w:t>A new phenotype of brain iron accumulation with dystonia, optic atrophy, and peripheral neuropathy.</w:t>
      </w:r>
      <w:r w:rsidRPr="00C34E49">
        <w:rPr>
          <w:rFonts w:cs="Arial"/>
          <w:smallCaps/>
          <w:noProof/>
          <w:szCs w:val="22"/>
        </w:rPr>
        <w:t xml:space="preserve"> Mov Disord, 2012. 27(6): p. 789-93.</w:t>
      </w:r>
      <w:bookmarkEnd w:id="149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50" w:name="_ENREF_148"/>
      <w:r w:rsidRPr="00C34E49">
        <w:rPr>
          <w:rFonts w:cs="Arial"/>
          <w:smallCaps/>
          <w:noProof/>
          <w:szCs w:val="22"/>
        </w:rPr>
        <w:t>148.</w:t>
      </w:r>
      <w:r w:rsidRPr="00C34E49">
        <w:rPr>
          <w:rFonts w:cs="Arial"/>
          <w:smallCaps/>
          <w:noProof/>
          <w:szCs w:val="22"/>
        </w:rPr>
        <w:tab/>
        <w:t xml:space="preserve">Haack, T.B., et al., </w:t>
      </w:r>
      <w:r w:rsidRPr="00C34E49">
        <w:rPr>
          <w:rFonts w:cs="Arial"/>
          <w:i/>
          <w:smallCaps/>
          <w:noProof/>
          <w:szCs w:val="22"/>
        </w:rPr>
        <w:t>Molecular diagnosis in mitochondrial complex I deficiency using exome sequencing.</w:t>
      </w:r>
      <w:r w:rsidRPr="00C34E49">
        <w:rPr>
          <w:rFonts w:cs="Arial"/>
          <w:smallCaps/>
          <w:noProof/>
          <w:szCs w:val="22"/>
        </w:rPr>
        <w:t xml:space="preserve"> J Med Genet, 2012. 49(4): p. 277-83.</w:t>
      </w:r>
      <w:bookmarkEnd w:id="150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51" w:name="_ENREF_149"/>
      <w:r w:rsidRPr="00C34E49">
        <w:rPr>
          <w:rFonts w:cs="Arial"/>
          <w:smallCaps/>
          <w:noProof/>
          <w:szCs w:val="22"/>
        </w:rPr>
        <w:t>149.</w:t>
      </w:r>
      <w:r w:rsidRPr="00C34E49">
        <w:rPr>
          <w:rFonts w:cs="Arial"/>
          <w:smallCaps/>
          <w:noProof/>
          <w:szCs w:val="22"/>
        </w:rPr>
        <w:tab/>
        <w:t xml:space="preserve">Shamseldin, H.E., et al., </w:t>
      </w:r>
      <w:r w:rsidRPr="00C34E49">
        <w:rPr>
          <w:rFonts w:cs="Arial"/>
          <w:i/>
          <w:smallCaps/>
          <w:noProof/>
          <w:szCs w:val="22"/>
        </w:rPr>
        <w:t>Genomic analysis of mitochondrial diseases in a consanguineous population reveals novel candidate disease genes.</w:t>
      </w:r>
      <w:r w:rsidRPr="00C34E49">
        <w:rPr>
          <w:rFonts w:cs="Arial"/>
          <w:smallCaps/>
          <w:noProof/>
          <w:szCs w:val="22"/>
        </w:rPr>
        <w:t xml:space="preserve"> J Med Genet, 2012. 49(4): p. 234-41.</w:t>
      </w:r>
      <w:bookmarkEnd w:id="151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52" w:name="_ENREF_150"/>
      <w:r w:rsidRPr="00C34E49">
        <w:rPr>
          <w:rFonts w:cs="Arial"/>
          <w:smallCaps/>
          <w:noProof/>
          <w:szCs w:val="22"/>
        </w:rPr>
        <w:t>150.</w:t>
      </w:r>
      <w:r w:rsidRPr="00C34E49">
        <w:rPr>
          <w:rFonts w:cs="Arial"/>
          <w:smallCaps/>
          <w:noProof/>
          <w:szCs w:val="22"/>
        </w:rPr>
        <w:tab/>
        <w:t xml:space="preserve">Steenweg, M.E., et al., </w:t>
      </w:r>
      <w:r w:rsidRPr="00C34E49">
        <w:rPr>
          <w:rFonts w:cs="Arial"/>
          <w:i/>
          <w:smallCaps/>
          <w:noProof/>
          <w:szCs w:val="22"/>
        </w:rPr>
        <w:t>Leukoencephalopathy with thalamus and brainstem involvement and high lactate 'LTBL' caused by EARS2 mutations.</w:t>
      </w:r>
      <w:r w:rsidRPr="00C34E49">
        <w:rPr>
          <w:rFonts w:cs="Arial"/>
          <w:smallCaps/>
          <w:noProof/>
          <w:szCs w:val="22"/>
        </w:rPr>
        <w:t xml:space="preserve"> Brain, 2012. 135(Pt 5): p. 1387-94.</w:t>
      </w:r>
      <w:bookmarkEnd w:id="152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53" w:name="_ENREF_151"/>
      <w:r w:rsidRPr="00C34E49">
        <w:rPr>
          <w:rFonts w:cs="Arial"/>
          <w:smallCaps/>
          <w:noProof/>
          <w:szCs w:val="22"/>
        </w:rPr>
        <w:t>151.</w:t>
      </w:r>
      <w:r w:rsidRPr="00C34E49">
        <w:rPr>
          <w:rFonts w:cs="Arial"/>
          <w:smallCaps/>
          <w:noProof/>
          <w:szCs w:val="22"/>
        </w:rPr>
        <w:tab/>
        <w:t xml:space="preserve">Spiegel, R., et al., </w:t>
      </w:r>
      <w:r w:rsidRPr="00C34E49">
        <w:rPr>
          <w:rFonts w:cs="Arial"/>
          <w:i/>
          <w:smallCaps/>
          <w:noProof/>
          <w:szCs w:val="22"/>
        </w:rPr>
        <w:t>Infantile cerebellar-retinal degeneration associated with a mutation in mitochondrial aconitase, ACO2.</w:t>
      </w:r>
      <w:r w:rsidRPr="00C34E49">
        <w:rPr>
          <w:rFonts w:cs="Arial"/>
          <w:smallCaps/>
          <w:noProof/>
          <w:szCs w:val="22"/>
        </w:rPr>
        <w:t xml:space="preserve"> Am J Hum Genet, 2012. 90(3): p. 518-23.</w:t>
      </w:r>
      <w:bookmarkEnd w:id="153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54" w:name="_ENREF_152"/>
      <w:r w:rsidRPr="00C34E49">
        <w:rPr>
          <w:rFonts w:cs="Arial"/>
          <w:smallCaps/>
          <w:noProof/>
          <w:szCs w:val="22"/>
        </w:rPr>
        <w:t>152.</w:t>
      </w:r>
      <w:r w:rsidRPr="00C34E49">
        <w:rPr>
          <w:rFonts w:cs="Arial"/>
          <w:smallCaps/>
          <w:noProof/>
          <w:szCs w:val="22"/>
        </w:rPr>
        <w:tab/>
        <w:t xml:space="preserve">Dundar, H., et al., </w:t>
      </w:r>
      <w:r w:rsidRPr="00C34E49">
        <w:rPr>
          <w:rFonts w:cs="Arial"/>
          <w:i/>
          <w:smallCaps/>
          <w:noProof/>
          <w:szCs w:val="22"/>
        </w:rPr>
        <w:t>Identification of a novel Twinkle mutation in a family with infantile onset spinocerebellar ataxia by whole exome sequencing.</w:t>
      </w:r>
      <w:r w:rsidRPr="00C34E49">
        <w:rPr>
          <w:rFonts w:cs="Arial"/>
          <w:smallCaps/>
          <w:noProof/>
          <w:szCs w:val="22"/>
        </w:rPr>
        <w:t xml:space="preserve"> Pediatr Neurol, 2012. 46(3): p. 172-7.</w:t>
      </w:r>
      <w:bookmarkEnd w:id="154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55" w:name="_ENREF_153"/>
      <w:r w:rsidRPr="00C34E49">
        <w:rPr>
          <w:rFonts w:cs="Arial"/>
          <w:smallCaps/>
          <w:noProof/>
          <w:szCs w:val="22"/>
        </w:rPr>
        <w:t>153.</w:t>
      </w:r>
      <w:r w:rsidRPr="00C34E49">
        <w:rPr>
          <w:rFonts w:cs="Arial"/>
          <w:smallCaps/>
          <w:noProof/>
          <w:szCs w:val="22"/>
        </w:rPr>
        <w:tab/>
        <w:t xml:space="preserve">Calvo, S.E., et al., </w:t>
      </w:r>
      <w:r w:rsidRPr="00C34E49">
        <w:rPr>
          <w:rFonts w:cs="Arial"/>
          <w:i/>
          <w:smallCaps/>
          <w:noProof/>
          <w:szCs w:val="22"/>
        </w:rPr>
        <w:t>Molecular diagnosis of infantile mitochondrial disease with targeted next-generation sequencing.</w:t>
      </w:r>
      <w:r w:rsidRPr="00C34E49">
        <w:rPr>
          <w:rFonts w:cs="Arial"/>
          <w:smallCaps/>
          <w:noProof/>
          <w:szCs w:val="22"/>
        </w:rPr>
        <w:t xml:space="preserve"> Sci Transl Med, 2012. 4(118): p. 118ra10.</w:t>
      </w:r>
      <w:bookmarkEnd w:id="155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56" w:name="_ENREF_154"/>
      <w:r w:rsidRPr="00C34E49">
        <w:rPr>
          <w:rFonts w:cs="Arial"/>
          <w:smallCaps/>
          <w:noProof/>
          <w:szCs w:val="22"/>
        </w:rPr>
        <w:t>154.</w:t>
      </w:r>
      <w:r w:rsidRPr="00C34E49">
        <w:rPr>
          <w:rFonts w:cs="Arial"/>
          <w:smallCaps/>
          <w:noProof/>
          <w:szCs w:val="22"/>
        </w:rPr>
        <w:tab/>
        <w:t xml:space="preserve">Lieber, D.S., et al., </w:t>
      </w:r>
      <w:r w:rsidRPr="00C34E49">
        <w:rPr>
          <w:rFonts w:cs="Arial"/>
          <w:i/>
          <w:smallCaps/>
          <w:noProof/>
          <w:szCs w:val="22"/>
        </w:rPr>
        <w:t>Atypical case of Wolfram syndrome revealed through targeted exome sequencing in a patient with suspected mitochondrial disease.</w:t>
      </w:r>
      <w:r w:rsidRPr="00C34E49">
        <w:rPr>
          <w:rFonts w:cs="Arial"/>
          <w:smallCaps/>
          <w:noProof/>
          <w:szCs w:val="22"/>
        </w:rPr>
        <w:t xml:space="preserve"> BMC Med Genet, 2012. 13: p. 3.</w:t>
      </w:r>
      <w:bookmarkEnd w:id="156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57" w:name="_ENREF_155"/>
      <w:r w:rsidRPr="00C34E49">
        <w:rPr>
          <w:rFonts w:cs="Arial"/>
          <w:smallCaps/>
          <w:noProof/>
          <w:szCs w:val="22"/>
        </w:rPr>
        <w:t>155.</w:t>
      </w:r>
      <w:r w:rsidRPr="00C34E49">
        <w:rPr>
          <w:rFonts w:cs="Arial"/>
          <w:smallCaps/>
          <w:noProof/>
          <w:szCs w:val="22"/>
        </w:rPr>
        <w:tab/>
        <w:t xml:space="preserve">Pierson, T.M., et al., </w:t>
      </w:r>
      <w:r w:rsidRPr="00C34E49">
        <w:rPr>
          <w:rFonts w:cs="Arial"/>
          <w:i/>
          <w:smallCaps/>
          <w:noProof/>
          <w:szCs w:val="22"/>
        </w:rPr>
        <w:t>Whole-exome sequencing identifies homozygous AFG3L2 mutations in a spastic ataxia-neuropathy syndrome linked to mitochondrial m-AAA proteases.</w:t>
      </w:r>
      <w:r w:rsidRPr="00C34E49">
        <w:rPr>
          <w:rFonts w:cs="Arial"/>
          <w:smallCaps/>
          <w:noProof/>
          <w:szCs w:val="22"/>
        </w:rPr>
        <w:t xml:space="preserve"> PLoS Genet, 2011. 7(10): p. e1002325.</w:t>
      </w:r>
      <w:bookmarkEnd w:id="157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58" w:name="_ENREF_156"/>
      <w:r w:rsidRPr="00C34E49">
        <w:rPr>
          <w:rFonts w:cs="Arial"/>
          <w:smallCaps/>
          <w:noProof/>
          <w:szCs w:val="22"/>
        </w:rPr>
        <w:t>156.</w:t>
      </w:r>
      <w:r w:rsidRPr="00C34E49">
        <w:rPr>
          <w:rFonts w:cs="Arial"/>
          <w:smallCaps/>
          <w:noProof/>
          <w:szCs w:val="22"/>
        </w:rPr>
        <w:tab/>
        <w:t xml:space="preserve">Berger, I., et al., </w:t>
      </w:r>
      <w:r w:rsidRPr="00C34E49">
        <w:rPr>
          <w:rFonts w:cs="Arial"/>
          <w:i/>
          <w:smallCaps/>
          <w:noProof/>
          <w:szCs w:val="22"/>
        </w:rPr>
        <w:t>Early prenatal ventriculomegaly due to an AIFM1 mutation identified by linkage analysis and whole exome sequencing.</w:t>
      </w:r>
      <w:r w:rsidRPr="00C34E49">
        <w:rPr>
          <w:rFonts w:cs="Arial"/>
          <w:smallCaps/>
          <w:noProof/>
          <w:szCs w:val="22"/>
        </w:rPr>
        <w:t xml:space="preserve"> Mol Genet Metab, 2011. 104(4): p. 517-20.</w:t>
      </w:r>
      <w:bookmarkEnd w:id="158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59" w:name="_ENREF_157"/>
      <w:r w:rsidRPr="00C34E49">
        <w:rPr>
          <w:rFonts w:cs="Arial"/>
          <w:smallCaps/>
          <w:noProof/>
          <w:szCs w:val="22"/>
        </w:rPr>
        <w:t>157.</w:t>
      </w:r>
      <w:r w:rsidRPr="00C34E49">
        <w:rPr>
          <w:rFonts w:cs="Arial"/>
          <w:smallCaps/>
          <w:noProof/>
          <w:szCs w:val="22"/>
        </w:rPr>
        <w:tab/>
        <w:t xml:space="preserve">Takata, A., et al., </w:t>
      </w:r>
      <w:r w:rsidRPr="00C34E49">
        <w:rPr>
          <w:rFonts w:cs="Arial"/>
          <w:i/>
          <w:smallCaps/>
          <w:noProof/>
          <w:szCs w:val="22"/>
        </w:rPr>
        <w:t>Exome sequencing identifies a novel missense variant in RRM2B associated with autosomal recessive progressive external ophthalmoplegia.</w:t>
      </w:r>
      <w:r w:rsidRPr="00C34E49">
        <w:rPr>
          <w:rFonts w:cs="Arial"/>
          <w:smallCaps/>
          <w:noProof/>
          <w:szCs w:val="22"/>
        </w:rPr>
        <w:t xml:space="preserve"> Genome Biol, 2011. 12(9): p. R92.</w:t>
      </w:r>
      <w:bookmarkEnd w:id="159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60" w:name="_ENREF_158"/>
      <w:r w:rsidRPr="00C34E49">
        <w:rPr>
          <w:rFonts w:cs="Arial"/>
          <w:smallCaps/>
          <w:noProof/>
          <w:szCs w:val="22"/>
        </w:rPr>
        <w:lastRenderedPageBreak/>
        <w:t>158.</w:t>
      </w:r>
      <w:r w:rsidRPr="00C34E49">
        <w:rPr>
          <w:rFonts w:cs="Arial"/>
          <w:smallCaps/>
          <w:noProof/>
          <w:szCs w:val="22"/>
        </w:rPr>
        <w:tab/>
        <w:t xml:space="preserve">Tyynismaa, H., et al., </w:t>
      </w:r>
      <w:r w:rsidRPr="00C34E49">
        <w:rPr>
          <w:rFonts w:cs="Arial"/>
          <w:i/>
          <w:smallCaps/>
          <w:noProof/>
          <w:szCs w:val="22"/>
        </w:rPr>
        <w:t>Thymidine kinase 2 mutations in autosomal recessive progressive external ophthalmoplegia with multiple mitochondrial DNA deletions.</w:t>
      </w:r>
      <w:r w:rsidRPr="00C34E49">
        <w:rPr>
          <w:rFonts w:cs="Arial"/>
          <w:smallCaps/>
          <w:noProof/>
          <w:szCs w:val="22"/>
        </w:rPr>
        <w:t xml:space="preserve"> Hum Mol Genet, 2012. 21(1): p. 66-75.</w:t>
      </w:r>
      <w:bookmarkEnd w:id="160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61" w:name="_ENREF_159"/>
      <w:r w:rsidRPr="00C34E49">
        <w:rPr>
          <w:rFonts w:cs="Arial"/>
          <w:smallCaps/>
          <w:noProof/>
          <w:szCs w:val="22"/>
        </w:rPr>
        <w:t>159.</w:t>
      </w:r>
      <w:r w:rsidRPr="00C34E49">
        <w:rPr>
          <w:rFonts w:cs="Arial"/>
          <w:smallCaps/>
          <w:noProof/>
          <w:szCs w:val="22"/>
        </w:rPr>
        <w:tab/>
        <w:t xml:space="preserve">Marti-Masso, J.F., et al., </w:t>
      </w:r>
      <w:r w:rsidRPr="00C34E49">
        <w:rPr>
          <w:rFonts w:cs="Arial"/>
          <w:i/>
          <w:smallCaps/>
          <w:noProof/>
          <w:szCs w:val="22"/>
        </w:rPr>
        <w:t>Exome sequencing identifies GCDH (glutaryl-CoA dehydrogenase) mutations as a cause of a progressive form of early-onset generalized dystonia.</w:t>
      </w:r>
      <w:r w:rsidRPr="00C34E49">
        <w:rPr>
          <w:rFonts w:cs="Arial"/>
          <w:smallCaps/>
          <w:noProof/>
          <w:szCs w:val="22"/>
        </w:rPr>
        <w:t xml:space="preserve"> Hum Genet, 2012. 131(3): p. 435-42.</w:t>
      </w:r>
      <w:bookmarkEnd w:id="161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62" w:name="_ENREF_160"/>
      <w:r w:rsidRPr="00C34E49">
        <w:rPr>
          <w:rFonts w:cs="Arial"/>
          <w:smallCaps/>
          <w:noProof/>
          <w:szCs w:val="22"/>
        </w:rPr>
        <w:t>160.</w:t>
      </w:r>
      <w:r w:rsidRPr="00C34E49">
        <w:rPr>
          <w:rFonts w:cs="Arial"/>
          <w:smallCaps/>
          <w:noProof/>
          <w:szCs w:val="22"/>
        </w:rPr>
        <w:tab/>
        <w:t xml:space="preserve">Gotz, A., et al., </w:t>
      </w:r>
      <w:r w:rsidRPr="00C34E49">
        <w:rPr>
          <w:rFonts w:cs="Arial"/>
          <w:i/>
          <w:smallCaps/>
          <w:noProof/>
          <w:szCs w:val="22"/>
        </w:rPr>
        <w:t>Exome sequencing identifies mitochondrial alanyl-tRNA synthetase mutations in infantile mitochondrial cardiomyopathy.</w:t>
      </w:r>
      <w:r w:rsidRPr="00C34E49">
        <w:rPr>
          <w:rFonts w:cs="Arial"/>
          <w:smallCaps/>
          <w:noProof/>
          <w:szCs w:val="22"/>
        </w:rPr>
        <w:t xml:space="preserve"> Am J Hum Genet, 2011. 88(5): p. 635-42.</w:t>
      </w:r>
      <w:bookmarkEnd w:id="162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63" w:name="_ENREF_161"/>
      <w:r w:rsidRPr="00C34E49">
        <w:rPr>
          <w:rFonts w:cs="Arial"/>
          <w:smallCaps/>
          <w:noProof/>
          <w:szCs w:val="22"/>
        </w:rPr>
        <w:t>161.</w:t>
      </w:r>
      <w:r w:rsidRPr="00C34E49">
        <w:rPr>
          <w:rFonts w:cs="Arial"/>
          <w:smallCaps/>
          <w:noProof/>
          <w:szCs w:val="22"/>
        </w:rPr>
        <w:tab/>
        <w:t xml:space="preserve">Sundaram, S.K., et al., </w:t>
      </w:r>
      <w:r w:rsidRPr="00C34E49">
        <w:rPr>
          <w:rFonts w:cs="Arial"/>
          <w:i/>
          <w:smallCaps/>
          <w:noProof/>
          <w:szCs w:val="22"/>
        </w:rPr>
        <w:t>Exome sequencing of a pedigree with Tourette syndrome or chronic tic disorder.</w:t>
      </w:r>
      <w:r w:rsidRPr="00C34E49">
        <w:rPr>
          <w:rFonts w:cs="Arial"/>
          <w:smallCaps/>
          <w:noProof/>
          <w:szCs w:val="22"/>
        </w:rPr>
        <w:t xml:space="preserve"> Ann Neurol, 2011. 69(5): p. 901-4.</w:t>
      </w:r>
      <w:bookmarkEnd w:id="163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64" w:name="_ENREF_162"/>
      <w:r w:rsidRPr="00C34E49">
        <w:rPr>
          <w:rFonts w:cs="Arial"/>
          <w:smallCaps/>
          <w:noProof/>
          <w:szCs w:val="22"/>
        </w:rPr>
        <w:t>162.</w:t>
      </w:r>
      <w:r w:rsidRPr="00C34E49">
        <w:rPr>
          <w:rFonts w:cs="Arial"/>
          <w:smallCaps/>
          <w:noProof/>
          <w:szCs w:val="22"/>
        </w:rPr>
        <w:tab/>
        <w:t xml:space="preserve">Glazov, E.A., et al., </w:t>
      </w:r>
      <w:r w:rsidRPr="00C34E49">
        <w:rPr>
          <w:rFonts w:cs="Arial"/>
          <w:i/>
          <w:smallCaps/>
          <w:noProof/>
          <w:szCs w:val="22"/>
        </w:rPr>
        <w:t>Whole-exome re-sequencing in a family quartet identifies POP1 mutations as the cause of a novel skeletal dysplasia.</w:t>
      </w:r>
      <w:r w:rsidRPr="00C34E49">
        <w:rPr>
          <w:rFonts w:cs="Arial"/>
          <w:smallCaps/>
          <w:noProof/>
          <w:szCs w:val="22"/>
        </w:rPr>
        <w:t xml:space="preserve"> PLoS Genet, 2011. 7(3): p. e1002027.</w:t>
      </w:r>
      <w:bookmarkEnd w:id="164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65" w:name="_ENREF_163"/>
      <w:r w:rsidRPr="00C34E49">
        <w:rPr>
          <w:rFonts w:cs="Arial"/>
          <w:smallCaps/>
          <w:noProof/>
          <w:szCs w:val="22"/>
        </w:rPr>
        <w:t>163.</w:t>
      </w:r>
      <w:r w:rsidRPr="00C34E49">
        <w:rPr>
          <w:rFonts w:cs="Arial"/>
          <w:smallCaps/>
          <w:noProof/>
          <w:szCs w:val="22"/>
        </w:rPr>
        <w:tab/>
        <w:t xml:space="preserve">Bai, R.K. and L.J. Wong, </w:t>
      </w:r>
      <w:r w:rsidRPr="00C34E49">
        <w:rPr>
          <w:rFonts w:cs="Arial"/>
          <w:i/>
          <w:smallCaps/>
          <w:noProof/>
          <w:szCs w:val="22"/>
        </w:rPr>
        <w:t>Simultaneous detection and quantification of mitochondrial DNA deletion(s), depletion, and over-replication in patients with mitochondrial disease.</w:t>
      </w:r>
      <w:r w:rsidRPr="00C34E49">
        <w:rPr>
          <w:rFonts w:cs="Arial"/>
          <w:smallCaps/>
          <w:noProof/>
          <w:szCs w:val="22"/>
        </w:rPr>
        <w:t xml:space="preserve"> J Mol Diagn, 2005. 7(5): p. 613-22.</w:t>
      </w:r>
      <w:bookmarkEnd w:id="165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66" w:name="_ENREF_164"/>
      <w:r w:rsidRPr="00C34E49">
        <w:rPr>
          <w:rFonts w:cs="Arial"/>
          <w:smallCaps/>
          <w:noProof/>
          <w:szCs w:val="22"/>
        </w:rPr>
        <w:t>164.</w:t>
      </w:r>
      <w:r w:rsidRPr="00C34E49">
        <w:rPr>
          <w:rFonts w:cs="Arial"/>
          <w:smallCaps/>
          <w:noProof/>
          <w:szCs w:val="22"/>
        </w:rPr>
        <w:tab/>
        <w:t xml:space="preserve">Liu, C.S., et al., </w:t>
      </w:r>
      <w:r w:rsidRPr="00C34E49">
        <w:rPr>
          <w:rFonts w:cs="Arial"/>
          <w:i/>
          <w:smallCaps/>
          <w:noProof/>
          <w:szCs w:val="22"/>
        </w:rPr>
        <w:t>Alteration in the copy number of mitochondrial DNA in leukocytes of patients with mitochondrial encephalomyopathies.</w:t>
      </w:r>
      <w:r w:rsidRPr="00C34E49">
        <w:rPr>
          <w:rFonts w:cs="Arial"/>
          <w:smallCaps/>
          <w:noProof/>
          <w:szCs w:val="22"/>
        </w:rPr>
        <w:t xml:space="preserve"> Acta Neurol Scand, 2006. 113(5): p. 334-41.</w:t>
      </w:r>
      <w:bookmarkEnd w:id="166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67" w:name="_ENREF_165"/>
      <w:r w:rsidRPr="00C34E49">
        <w:rPr>
          <w:rFonts w:cs="Arial"/>
          <w:smallCaps/>
          <w:noProof/>
          <w:szCs w:val="22"/>
        </w:rPr>
        <w:t>165.</w:t>
      </w:r>
      <w:r w:rsidRPr="00C34E49">
        <w:rPr>
          <w:rFonts w:cs="Arial"/>
          <w:smallCaps/>
          <w:noProof/>
          <w:szCs w:val="22"/>
        </w:rPr>
        <w:tab/>
        <w:t xml:space="preserve">de Mendoza, C., et al., </w:t>
      </w:r>
      <w:r w:rsidRPr="00C34E49">
        <w:rPr>
          <w:rFonts w:cs="Arial"/>
          <w:i/>
          <w:smallCaps/>
          <w:noProof/>
          <w:szCs w:val="22"/>
        </w:rPr>
        <w:t>Could mitochondrial DNA quantitation be a surrogate marker for drug mitochondrial toxicity?</w:t>
      </w:r>
      <w:r w:rsidRPr="00C34E49">
        <w:rPr>
          <w:rFonts w:cs="Arial"/>
          <w:smallCaps/>
          <w:noProof/>
          <w:szCs w:val="22"/>
        </w:rPr>
        <w:t xml:space="preserve"> AIDS Rev, 2004. 6(3): p. 169-80.</w:t>
      </w:r>
      <w:bookmarkEnd w:id="167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68" w:name="_ENREF_166"/>
      <w:r w:rsidRPr="00C34E49">
        <w:rPr>
          <w:rFonts w:cs="Arial"/>
          <w:smallCaps/>
          <w:noProof/>
          <w:szCs w:val="22"/>
        </w:rPr>
        <w:t>166.</w:t>
      </w:r>
      <w:r w:rsidRPr="00C34E49">
        <w:rPr>
          <w:rFonts w:cs="Arial"/>
          <w:smallCaps/>
          <w:noProof/>
          <w:szCs w:val="22"/>
        </w:rPr>
        <w:tab/>
        <w:t xml:space="preserve">Ridge, P.G., et al., </w:t>
      </w:r>
      <w:r w:rsidRPr="00C34E49">
        <w:rPr>
          <w:rFonts w:cs="Arial"/>
          <w:i/>
          <w:smallCaps/>
          <w:noProof/>
          <w:szCs w:val="22"/>
        </w:rPr>
        <w:t>Mitochondrial haplotypes associated with biomarkers for Alzheimer's disease.</w:t>
      </w:r>
      <w:r w:rsidRPr="00C34E49">
        <w:rPr>
          <w:rFonts w:cs="Arial"/>
          <w:smallCaps/>
          <w:noProof/>
          <w:szCs w:val="22"/>
        </w:rPr>
        <w:t xml:space="preserve"> PLoS One, 2013. 8(9): p. e74158.</w:t>
      </w:r>
      <w:bookmarkEnd w:id="168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69" w:name="_ENREF_167"/>
      <w:r w:rsidRPr="00C34E49">
        <w:rPr>
          <w:rFonts w:cs="Arial"/>
          <w:smallCaps/>
          <w:noProof/>
          <w:szCs w:val="22"/>
        </w:rPr>
        <w:t>167.</w:t>
      </w:r>
      <w:r w:rsidRPr="00C34E49">
        <w:rPr>
          <w:rFonts w:cs="Arial"/>
          <w:smallCaps/>
          <w:noProof/>
          <w:szCs w:val="22"/>
        </w:rPr>
        <w:tab/>
        <w:t xml:space="preserve">Hagen, C.M., et al., </w:t>
      </w:r>
      <w:r w:rsidRPr="00C34E49">
        <w:rPr>
          <w:rFonts w:cs="Arial"/>
          <w:i/>
          <w:smallCaps/>
          <w:noProof/>
          <w:szCs w:val="22"/>
        </w:rPr>
        <w:t>Mitochondrial haplogroups modify the risk of developing hypertrophic cardiomyopathy in a Danish population.</w:t>
      </w:r>
      <w:r w:rsidRPr="00C34E49">
        <w:rPr>
          <w:rFonts w:cs="Arial"/>
          <w:smallCaps/>
          <w:noProof/>
          <w:szCs w:val="22"/>
        </w:rPr>
        <w:t xml:space="preserve"> PLoS One, 2013. 8(8): p. e71904.</w:t>
      </w:r>
      <w:bookmarkEnd w:id="169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70" w:name="_ENREF_168"/>
      <w:r w:rsidRPr="00C34E49">
        <w:rPr>
          <w:rFonts w:cs="Arial"/>
          <w:smallCaps/>
          <w:noProof/>
          <w:szCs w:val="22"/>
        </w:rPr>
        <w:t>168.</w:t>
      </w:r>
      <w:r w:rsidRPr="00C34E49">
        <w:rPr>
          <w:rFonts w:cs="Arial"/>
          <w:smallCaps/>
          <w:noProof/>
          <w:szCs w:val="22"/>
        </w:rPr>
        <w:tab/>
        <w:t xml:space="preserve">Crimi, M., et al., </w:t>
      </w:r>
      <w:r w:rsidRPr="00C34E49">
        <w:rPr>
          <w:rFonts w:cs="Arial"/>
          <w:i/>
          <w:smallCaps/>
          <w:noProof/>
          <w:szCs w:val="22"/>
        </w:rPr>
        <w:t>Skeletal muscle gene expression profiling in mitochondrial disorders.</w:t>
      </w:r>
      <w:r w:rsidRPr="00C34E49">
        <w:rPr>
          <w:rFonts w:cs="Arial"/>
          <w:smallCaps/>
          <w:noProof/>
          <w:szCs w:val="22"/>
        </w:rPr>
        <w:t xml:space="preserve"> FASEB J, 2005. 19(7): p. 866-8.</w:t>
      </w:r>
      <w:bookmarkEnd w:id="170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71" w:name="_ENREF_169"/>
      <w:r w:rsidRPr="00C34E49">
        <w:rPr>
          <w:rFonts w:cs="Arial"/>
          <w:smallCaps/>
          <w:noProof/>
          <w:szCs w:val="22"/>
        </w:rPr>
        <w:t>169.</w:t>
      </w:r>
      <w:r w:rsidRPr="00C34E49">
        <w:rPr>
          <w:rFonts w:cs="Arial"/>
          <w:smallCaps/>
          <w:noProof/>
          <w:szCs w:val="22"/>
        </w:rPr>
        <w:tab/>
        <w:t xml:space="preserve">He, S.L., et al., </w:t>
      </w:r>
      <w:r w:rsidRPr="00C34E49">
        <w:rPr>
          <w:rFonts w:cs="Arial"/>
          <w:i/>
          <w:smallCaps/>
          <w:noProof/>
          <w:szCs w:val="22"/>
        </w:rPr>
        <w:t>Mitochondrial-related gene expression profiles suggest an important role of PGC-1alpha in the compensatory mechanism of endemic dilated cardiomyopathy.</w:t>
      </w:r>
      <w:r w:rsidRPr="00C34E49">
        <w:rPr>
          <w:rFonts w:cs="Arial"/>
          <w:smallCaps/>
          <w:noProof/>
          <w:szCs w:val="22"/>
        </w:rPr>
        <w:t xml:space="preserve"> Exp Cell Res, 2013. 319(17): p. 2604-16.</w:t>
      </w:r>
      <w:bookmarkEnd w:id="171"/>
    </w:p>
    <w:p w:rsidR="00C34E49" w:rsidRPr="00C34E49" w:rsidRDefault="00C34E49" w:rsidP="00C34E49">
      <w:pPr>
        <w:ind w:left="720" w:hanging="720"/>
        <w:rPr>
          <w:rFonts w:cs="Arial"/>
          <w:smallCaps/>
          <w:noProof/>
          <w:szCs w:val="22"/>
        </w:rPr>
      </w:pPr>
      <w:bookmarkStart w:id="172" w:name="_ENREF_170"/>
      <w:r w:rsidRPr="00C34E49">
        <w:rPr>
          <w:rFonts w:cs="Arial"/>
          <w:smallCaps/>
          <w:noProof/>
          <w:szCs w:val="22"/>
        </w:rPr>
        <w:t>170.</w:t>
      </w:r>
      <w:r w:rsidRPr="00C34E49">
        <w:rPr>
          <w:rFonts w:cs="Arial"/>
          <w:smallCaps/>
          <w:noProof/>
          <w:szCs w:val="22"/>
        </w:rPr>
        <w:tab/>
        <w:t xml:space="preserve">Zhang, Z., et al., </w:t>
      </w:r>
      <w:r w:rsidRPr="00C34E49">
        <w:rPr>
          <w:rFonts w:cs="Arial"/>
          <w:i/>
          <w:smallCaps/>
          <w:noProof/>
          <w:szCs w:val="22"/>
        </w:rPr>
        <w:t>Primary respiratory chain disease causes tissue-specific dysregulation of the global transcriptome and nutrient-sensing signaling network.</w:t>
      </w:r>
      <w:r w:rsidRPr="00C34E49">
        <w:rPr>
          <w:rFonts w:cs="Arial"/>
          <w:smallCaps/>
          <w:noProof/>
          <w:szCs w:val="22"/>
        </w:rPr>
        <w:t xml:space="preserve"> PLoS One, 2013. 8(7): p. e69282.</w:t>
      </w:r>
      <w:bookmarkEnd w:id="172"/>
    </w:p>
    <w:p w:rsidR="00C34E49" w:rsidRPr="00C34E49" w:rsidRDefault="00C34E49" w:rsidP="008A0ECF">
      <w:pPr>
        <w:ind w:left="720" w:hanging="720"/>
        <w:rPr>
          <w:rFonts w:cs="Arial"/>
          <w:smallCaps/>
          <w:noProof/>
          <w:szCs w:val="22"/>
        </w:rPr>
      </w:pPr>
      <w:bookmarkStart w:id="173" w:name="_ENREF_171"/>
      <w:r w:rsidRPr="00C34E49">
        <w:rPr>
          <w:rFonts w:cs="Arial"/>
          <w:smallCaps/>
          <w:noProof/>
          <w:szCs w:val="22"/>
        </w:rPr>
        <w:t>171.</w:t>
      </w:r>
      <w:r w:rsidRPr="00C34E49">
        <w:rPr>
          <w:rFonts w:cs="Arial"/>
          <w:smallCaps/>
          <w:noProof/>
          <w:szCs w:val="22"/>
        </w:rPr>
        <w:tab/>
        <w:t xml:space="preserve">Herrmann, P.C. and E.C. Herrmann, </w:t>
      </w:r>
      <w:r w:rsidRPr="00C34E49">
        <w:rPr>
          <w:rFonts w:cs="Arial"/>
          <w:i/>
          <w:smallCaps/>
          <w:noProof/>
          <w:szCs w:val="22"/>
        </w:rPr>
        <w:t>Mitochondrial proteome: toward the detection and profiling of disease associated alterations.</w:t>
      </w:r>
      <w:r w:rsidRPr="00C34E49">
        <w:rPr>
          <w:rFonts w:cs="Arial"/>
          <w:smallCaps/>
          <w:noProof/>
          <w:szCs w:val="22"/>
        </w:rPr>
        <w:t xml:space="preserve"> Methods Mol Biol, 2012. 823: p. 265-77.</w:t>
      </w:r>
      <w:bookmarkEnd w:id="173"/>
    </w:p>
    <w:p w:rsidR="00C34E49" w:rsidRPr="00C34E49" w:rsidRDefault="00C22557" w:rsidP="00C34E49">
      <w:pPr>
        <w:spacing w:before="120"/>
      </w:pPr>
      <w:r w:rsidRPr="00C34E49">
        <w:rPr>
          <w:rFonts w:cs="Arial"/>
          <w:smallCaps/>
          <w:szCs w:val="22"/>
        </w:rPr>
        <w:fldChar w:fldCharType="end"/>
      </w:r>
    </w:p>
    <w:sectPr w:rsidR="00C34E49" w:rsidRPr="00C34E49" w:rsidSect="00380875">
      <w:headerReference w:type="default" r:id="rId14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1E" w:rsidRDefault="00FC3D1E">
      <w:r>
        <w:separator/>
      </w:r>
    </w:p>
  </w:endnote>
  <w:endnote w:type="continuationSeparator" w:id="0">
    <w:p w:rsidR="00FC3D1E" w:rsidRDefault="00FC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D9" w:rsidRDefault="002D3A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F47" w:rsidRPr="0049280F" w:rsidRDefault="006D2F47" w:rsidP="0049280F">
    <w:pPr>
      <w:tabs>
        <w:tab w:val="right" w:pos="10080"/>
      </w:tabs>
      <w:rPr>
        <w:szCs w:val="22"/>
      </w:rPr>
    </w:pPr>
    <w:r>
      <w:rPr>
        <w:szCs w:val="22"/>
      </w:rPr>
      <w:t>Mito</w:t>
    </w:r>
    <w:r w:rsidRPr="0049280F">
      <w:rPr>
        <w:szCs w:val="22"/>
      </w:rPr>
      <w:t xml:space="preserve"> Version </w:t>
    </w:r>
    <w:r w:rsidR="002D3AD9">
      <w:rPr>
        <w:szCs w:val="22"/>
      </w:rPr>
      <w:t>1</w:t>
    </w:r>
    <w:r w:rsidRPr="0049280F">
      <w:rPr>
        <w:szCs w:val="22"/>
      </w:rPr>
      <w:t>.0</w:t>
    </w:r>
    <w:r w:rsidRPr="0049280F">
      <w:rPr>
        <w:szCs w:val="22"/>
      </w:rPr>
      <w:tab/>
      <w:t xml:space="preserve">Page </w:t>
    </w:r>
    <w:r w:rsidRPr="0049280F">
      <w:rPr>
        <w:szCs w:val="22"/>
      </w:rPr>
      <w:fldChar w:fldCharType="begin"/>
    </w:r>
    <w:r w:rsidRPr="0049280F">
      <w:rPr>
        <w:szCs w:val="22"/>
      </w:rPr>
      <w:instrText xml:space="preserve"> PAGE  \* Arabic  \* MERGEFORMAT </w:instrText>
    </w:r>
    <w:r w:rsidRPr="0049280F">
      <w:rPr>
        <w:szCs w:val="22"/>
      </w:rPr>
      <w:fldChar w:fldCharType="separate"/>
    </w:r>
    <w:r w:rsidR="00D60C5D">
      <w:rPr>
        <w:noProof/>
        <w:szCs w:val="22"/>
      </w:rPr>
      <w:t>12</w:t>
    </w:r>
    <w:r w:rsidRPr="0049280F">
      <w:rPr>
        <w:szCs w:val="22"/>
      </w:rPr>
      <w:fldChar w:fldCharType="end"/>
    </w:r>
    <w:r w:rsidRPr="0049280F">
      <w:rPr>
        <w:szCs w:val="22"/>
      </w:rPr>
      <w:t xml:space="preserve"> of </w:t>
    </w:r>
    <w:fldSimple w:instr=" NUMPAGES  \* Arabic  \* MERGEFORMAT ">
      <w:r w:rsidR="00D60C5D" w:rsidRPr="00D60C5D">
        <w:rPr>
          <w:noProof/>
          <w:szCs w:val="22"/>
        </w:rPr>
        <w:t>12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D9" w:rsidRDefault="002D3A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1E" w:rsidRDefault="00FC3D1E">
      <w:r>
        <w:separator/>
      </w:r>
    </w:p>
  </w:footnote>
  <w:footnote w:type="continuationSeparator" w:id="0">
    <w:p w:rsidR="00FC3D1E" w:rsidRDefault="00FC3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D9" w:rsidRDefault="002D3A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F47" w:rsidRDefault="006D2F47" w:rsidP="00FD184F">
    <w:pPr>
      <w:pStyle w:val="Heading1"/>
      <w:rPr>
        <w:rFonts w:ascii="Arial Narrow" w:hAnsi="Arial Narrow"/>
      </w:rPr>
    </w:pPr>
    <w:r>
      <w:rPr>
        <w:rStyle w:val="Heading1Char"/>
        <w:noProof/>
        <w:szCs w:val="28"/>
        <w:lang w:eastAsia="zh-TW"/>
      </w:rPr>
      <w:t>Biomarkers</w:t>
    </w:r>
  </w:p>
  <w:p w:rsidR="006D2F47" w:rsidRPr="008329D1" w:rsidRDefault="006D2F47" w:rsidP="00AA791C">
    <w:pPr>
      <w:pStyle w:val="Header"/>
      <w:tabs>
        <w:tab w:val="clear" w:pos="4320"/>
        <w:tab w:val="clear" w:pos="8640"/>
        <w:tab w:val="right" w:pos="7920"/>
      </w:tabs>
    </w:pPr>
    <w:bookmarkStart w:id="2" w:name="OLE_LINK2"/>
    <w:r w:rsidRPr="008329D1">
      <w:t>[Study Name/ID pre-filled]</w:t>
    </w:r>
    <w:r w:rsidRPr="008329D1">
      <w:tab/>
      <w:t>Site Name:</w:t>
    </w:r>
  </w:p>
  <w:bookmarkEnd w:id="2"/>
  <w:p w:rsidR="006D2F47" w:rsidRPr="008329D1" w:rsidRDefault="006D2F47" w:rsidP="00FA579D">
    <w:pPr>
      <w:pStyle w:val="Header"/>
      <w:tabs>
        <w:tab w:val="clear" w:pos="4320"/>
        <w:tab w:val="clear" w:pos="8640"/>
        <w:tab w:val="right" w:pos="7920"/>
      </w:tabs>
      <w:spacing w:after="240"/>
    </w:pPr>
    <w:r w:rsidRPr="008329D1">
      <w:tab/>
      <w:t>Subject ID: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D9" w:rsidRDefault="002D3AD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F47" w:rsidRPr="000B52D5" w:rsidRDefault="006D2F47" w:rsidP="00FA579D">
    <w:pPr>
      <w:pStyle w:val="Heading1"/>
      <w:spacing w:after="240"/>
      <w:rPr>
        <w:szCs w:val="28"/>
      </w:rPr>
    </w:pPr>
    <w:r>
      <w:t>Biomarkers</w:t>
    </w:r>
    <w:r w:rsidRPr="000B52D5">
      <w:rPr>
        <w:rStyle w:val="Heading5Char"/>
        <w:iCs/>
      </w:rPr>
      <w:t xml:space="preserve"> </w:t>
    </w:r>
    <w:r w:rsidRPr="000B52D5">
      <w:t>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559"/>
    <w:multiLevelType w:val="hybridMultilevel"/>
    <w:tmpl w:val="49D04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8B2"/>
    <w:multiLevelType w:val="hybridMultilevel"/>
    <w:tmpl w:val="1BF258F4"/>
    <w:lvl w:ilvl="0" w:tplc="DC88E6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2355D"/>
    <w:multiLevelType w:val="hybridMultilevel"/>
    <w:tmpl w:val="E43A31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C260C"/>
    <w:multiLevelType w:val="hybridMultilevel"/>
    <w:tmpl w:val="84B8056A"/>
    <w:lvl w:ilvl="0" w:tplc="C9EE3F2A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1D5F3A"/>
    <w:multiLevelType w:val="hybridMultilevel"/>
    <w:tmpl w:val="1592C3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CC657F"/>
    <w:multiLevelType w:val="hybridMultilevel"/>
    <w:tmpl w:val="22DA8734"/>
    <w:lvl w:ilvl="0" w:tplc="76B221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25236"/>
    <w:multiLevelType w:val="hybridMultilevel"/>
    <w:tmpl w:val="3280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63BB9"/>
    <w:multiLevelType w:val="hybridMultilevel"/>
    <w:tmpl w:val="BE0095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973901"/>
    <w:multiLevelType w:val="hybridMultilevel"/>
    <w:tmpl w:val="96769936"/>
    <w:lvl w:ilvl="0" w:tplc="48C4089E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61D6D16"/>
    <w:multiLevelType w:val="hybridMultilevel"/>
    <w:tmpl w:val="77404FD6"/>
    <w:lvl w:ilvl="0" w:tplc="150E39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4290E"/>
    <w:multiLevelType w:val="hybridMultilevel"/>
    <w:tmpl w:val="61880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136F8"/>
    <w:multiLevelType w:val="hybridMultilevel"/>
    <w:tmpl w:val="BA781D32"/>
    <w:lvl w:ilvl="0" w:tplc="1D7EF2B6">
      <w:start w:val="5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31B00"/>
    <w:multiLevelType w:val="hybridMultilevel"/>
    <w:tmpl w:val="2B70A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D5809"/>
    <w:multiLevelType w:val="multilevel"/>
    <w:tmpl w:val="E6E0C70E"/>
    <w:lvl w:ilvl="0">
      <w:start w:val="6"/>
      <w:numFmt w:val="decimal"/>
      <w:lvlText w:val="%1."/>
      <w:lvlJc w:val="left"/>
      <w:pPr>
        <w:tabs>
          <w:tab w:val="num" w:pos="522"/>
        </w:tabs>
        <w:ind w:left="878" w:hanging="792"/>
      </w:pPr>
      <w:rPr>
        <w:rFonts w:ascii="Verdana" w:hAnsi="Verdana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674"/>
        </w:tabs>
        <w:ind w:left="2030" w:hanging="792"/>
      </w:pPr>
      <w:rPr>
        <w:b/>
      </w:rPr>
    </w:lvl>
    <w:lvl w:ilvl="2">
      <w:start w:val="1"/>
      <w:numFmt w:val="bullet"/>
      <w:lvlText w:val=""/>
      <w:lvlJc w:val="left"/>
      <w:pPr>
        <w:tabs>
          <w:tab w:val="num" w:pos="2826"/>
        </w:tabs>
        <w:ind w:left="3182" w:hanging="792"/>
      </w:pPr>
      <w:rPr>
        <w:rFonts w:ascii="Wingdings" w:hAnsi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3978"/>
        </w:tabs>
        <w:ind w:left="4334" w:hanging="792"/>
      </w:pPr>
    </w:lvl>
    <w:lvl w:ilvl="4">
      <w:start w:val="1"/>
      <w:numFmt w:val="lowerLetter"/>
      <w:lvlText w:val="%5."/>
      <w:lvlJc w:val="left"/>
      <w:pPr>
        <w:tabs>
          <w:tab w:val="num" w:pos="5130"/>
        </w:tabs>
        <w:ind w:left="5486" w:hanging="792"/>
      </w:pPr>
    </w:lvl>
    <w:lvl w:ilvl="5">
      <w:start w:val="1"/>
      <w:numFmt w:val="lowerRoman"/>
      <w:lvlText w:val="%6."/>
      <w:lvlJc w:val="right"/>
      <w:pPr>
        <w:tabs>
          <w:tab w:val="num" w:pos="6282"/>
        </w:tabs>
        <w:ind w:left="6638" w:hanging="792"/>
      </w:pPr>
    </w:lvl>
    <w:lvl w:ilvl="6">
      <w:start w:val="1"/>
      <w:numFmt w:val="decimal"/>
      <w:lvlText w:val="%7."/>
      <w:lvlJc w:val="left"/>
      <w:pPr>
        <w:tabs>
          <w:tab w:val="num" w:pos="7434"/>
        </w:tabs>
        <w:ind w:left="7790" w:hanging="792"/>
      </w:pPr>
    </w:lvl>
    <w:lvl w:ilvl="7">
      <w:start w:val="1"/>
      <w:numFmt w:val="lowerLetter"/>
      <w:lvlText w:val="%8."/>
      <w:lvlJc w:val="left"/>
      <w:pPr>
        <w:tabs>
          <w:tab w:val="num" w:pos="8586"/>
        </w:tabs>
        <w:ind w:left="8942" w:hanging="792"/>
      </w:pPr>
    </w:lvl>
    <w:lvl w:ilvl="8">
      <w:start w:val="1"/>
      <w:numFmt w:val="lowerRoman"/>
      <w:lvlText w:val="%9."/>
      <w:lvlJc w:val="right"/>
      <w:pPr>
        <w:tabs>
          <w:tab w:val="num" w:pos="9738"/>
        </w:tabs>
        <w:ind w:left="10094" w:hanging="792"/>
      </w:pPr>
    </w:lvl>
  </w:abstractNum>
  <w:abstractNum w:abstractNumId="14">
    <w:nsid w:val="4B3F69E0"/>
    <w:multiLevelType w:val="hybridMultilevel"/>
    <w:tmpl w:val="FD809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1E7C93"/>
    <w:multiLevelType w:val="hybridMultilevel"/>
    <w:tmpl w:val="D25E16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D60BCF"/>
    <w:multiLevelType w:val="hybridMultilevel"/>
    <w:tmpl w:val="D430E5C6"/>
    <w:lvl w:ilvl="0" w:tplc="0176573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2376C"/>
    <w:multiLevelType w:val="hybridMultilevel"/>
    <w:tmpl w:val="B352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7666D"/>
    <w:multiLevelType w:val="hybridMultilevel"/>
    <w:tmpl w:val="70B65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A6EEE"/>
    <w:multiLevelType w:val="hybridMultilevel"/>
    <w:tmpl w:val="EAF2F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01821"/>
    <w:multiLevelType w:val="hybridMultilevel"/>
    <w:tmpl w:val="5620A3E6"/>
    <w:lvl w:ilvl="0" w:tplc="7B724A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14E68"/>
    <w:multiLevelType w:val="hybridMultilevel"/>
    <w:tmpl w:val="9ABCB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C3545"/>
    <w:multiLevelType w:val="hybridMultilevel"/>
    <w:tmpl w:val="A51CCF46"/>
    <w:lvl w:ilvl="0" w:tplc="76B221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552B0"/>
    <w:multiLevelType w:val="hybridMultilevel"/>
    <w:tmpl w:val="89CA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76F6B"/>
    <w:multiLevelType w:val="hybridMultilevel"/>
    <w:tmpl w:val="983A5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63186"/>
    <w:multiLevelType w:val="hybridMultilevel"/>
    <w:tmpl w:val="F76C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6"/>
  </w:num>
  <w:num w:numId="5">
    <w:abstractNumId w:val="23"/>
  </w:num>
  <w:num w:numId="6">
    <w:abstractNumId w:val="17"/>
  </w:num>
  <w:num w:numId="7">
    <w:abstractNumId w:val="5"/>
  </w:num>
  <w:num w:numId="8">
    <w:abstractNumId w:val="22"/>
  </w:num>
  <w:num w:numId="9">
    <w:abstractNumId w:val="24"/>
  </w:num>
  <w:num w:numId="10">
    <w:abstractNumId w:val="11"/>
  </w:num>
  <w:num w:numId="11">
    <w:abstractNumId w:val="3"/>
  </w:num>
  <w:num w:numId="12">
    <w:abstractNumId w:val="16"/>
  </w:num>
  <w:num w:numId="13">
    <w:abstractNumId w:val="13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5"/>
  </w:num>
  <w:num w:numId="16">
    <w:abstractNumId w:val="21"/>
  </w:num>
  <w:num w:numId="17">
    <w:abstractNumId w:val="8"/>
  </w:num>
  <w:num w:numId="18">
    <w:abstractNumId w:val="18"/>
  </w:num>
  <w:num w:numId="19">
    <w:abstractNumId w:val="7"/>
  </w:num>
  <w:num w:numId="20">
    <w:abstractNumId w:val="12"/>
  </w:num>
  <w:num w:numId="21">
    <w:abstractNumId w:val="10"/>
  </w:num>
  <w:num w:numId="22">
    <w:abstractNumId w:val="15"/>
  </w:num>
  <w:num w:numId="23">
    <w:abstractNumId w:val="19"/>
  </w:num>
  <w:num w:numId="24">
    <w:abstractNumId w:val="2"/>
  </w:num>
  <w:num w:numId="25">
    <w:abstractNumId w:val="0"/>
  </w:num>
  <w:num w:numId="2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21C"/>
    <w:rsid w:val="00003D13"/>
    <w:rsid w:val="000111DC"/>
    <w:rsid w:val="000209CC"/>
    <w:rsid w:val="00021AA6"/>
    <w:rsid w:val="00023356"/>
    <w:rsid w:val="000244FE"/>
    <w:rsid w:val="00027A63"/>
    <w:rsid w:val="00034B0C"/>
    <w:rsid w:val="00040978"/>
    <w:rsid w:val="000438E6"/>
    <w:rsid w:val="00052DF9"/>
    <w:rsid w:val="00054904"/>
    <w:rsid w:val="00060B1B"/>
    <w:rsid w:val="00064826"/>
    <w:rsid w:val="00073393"/>
    <w:rsid w:val="00084B68"/>
    <w:rsid w:val="00093622"/>
    <w:rsid w:val="00095985"/>
    <w:rsid w:val="000960AF"/>
    <w:rsid w:val="00097907"/>
    <w:rsid w:val="000B52D5"/>
    <w:rsid w:val="000B5AAE"/>
    <w:rsid w:val="000C60A4"/>
    <w:rsid w:val="00105885"/>
    <w:rsid w:val="00111D00"/>
    <w:rsid w:val="001120D3"/>
    <w:rsid w:val="00126CCB"/>
    <w:rsid w:val="001303E3"/>
    <w:rsid w:val="00133C6B"/>
    <w:rsid w:val="00134619"/>
    <w:rsid w:val="0015300C"/>
    <w:rsid w:val="00154641"/>
    <w:rsid w:val="00162016"/>
    <w:rsid w:val="001632A4"/>
    <w:rsid w:val="0017549E"/>
    <w:rsid w:val="00176D6E"/>
    <w:rsid w:val="001811D3"/>
    <w:rsid w:val="00182ADF"/>
    <w:rsid w:val="001832E3"/>
    <w:rsid w:val="00184DCD"/>
    <w:rsid w:val="00197D09"/>
    <w:rsid w:val="001A0C67"/>
    <w:rsid w:val="001A54E2"/>
    <w:rsid w:val="001B4C82"/>
    <w:rsid w:val="001B507E"/>
    <w:rsid w:val="001D2801"/>
    <w:rsid w:val="001D37FA"/>
    <w:rsid w:val="001D4BAD"/>
    <w:rsid w:val="001F7EDC"/>
    <w:rsid w:val="0020330C"/>
    <w:rsid w:val="00204861"/>
    <w:rsid w:val="00211B3D"/>
    <w:rsid w:val="0021402B"/>
    <w:rsid w:val="002151ED"/>
    <w:rsid w:val="00215E7C"/>
    <w:rsid w:val="00222EE1"/>
    <w:rsid w:val="00252608"/>
    <w:rsid w:val="00252A59"/>
    <w:rsid w:val="00263A77"/>
    <w:rsid w:val="00263C43"/>
    <w:rsid w:val="00277B62"/>
    <w:rsid w:val="00282797"/>
    <w:rsid w:val="00283996"/>
    <w:rsid w:val="00292DE4"/>
    <w:rsid w:val="00296084"/>
    <w:rsid w:val="002977E2"/>
    <w:rsid w:val="002A058B"/>
    <w:rsid w:val="002A33F4"/>
    <w:rsid w:val="002A64FF"/>
    <w:rsid w:val="002B0DB7"/>
    <w:rsid w:val="002B4F27"/>
    <w:rsid w:val="002B56B3"/>
    <w:rsid w:val="002D3AD9"/>
    <w:rsid w:val="002D3FEF"/>
    <w:rsid w:val="002E02B0"/>
    <w:rsid w:val="002E2C5B"/>
    <w:rsid w:val="002E58C5"/>
    <w:rsid w:val="002E698F"/>
    <w:rsid w:val="002F69EB"/>
    <w:rsid w:val="00305410"/>
    <w:rsid w:val="00305E0C"/>
    <w:rsid w:val="00314166"/>
    <w:rsid w:val="0034398E"/>
    <w:rsid w:val="00345937"/>
    <w:rsid w:val="00350742"/>
    <w:rsid w:val="00353EB0"/>
    <w:rsid w:val="00355FD2"/>
    <w:rsid w:val="00362532"/>
    <w:rsid w:val="00363590"/>
    <w:rsid w:val="00365F10"/>
    <w:rsid w:val="00371614"/>
    <w:rsid w:val="00371CA2"/>
    <w:rsid w:val="00376264"/>
    <w:rsid w:val="00380875"/>
    <w:rsid w:val="0038396D"/>
    <w:rsid w:val="003849B8"/>
    <w:rsid w:val="00386D02"/>
    <w:rsid w:val="00396B26"/>
    <w:rsid w:val="00396E8F"/>
    <w:rsid w:val="003A208D"/>
    <w:rsid w:val="003A39C9"/>
    <w:rsid w:val="003A5B87"/>
    <w:rsid w:val="003B46D9"/>
    <w:rsid w:val="003C0E9C"/>
    <w:rsid w:val="003D499C"/>
    <w:rsid w:val="003D77C2"/>
    <w:rsid w:val="003E1203"/>
    <w:rsid w:val="003E14D6"/>
    <w:rsid w:val="003E2614"/>
    <w:rsid w:val="003E3DC5"/>
    <w:rsid w:val="003E6079"/>
    <w:rsid w:val="003E7F04"/>
    <w:rsid w:val="003F1CA5"/>
    <w:rsid w:val="003F3AF6"/>
    <w:rsid w:val="003F4CC2"/>
    <w:rsid w:val="00406074"/>
    <w:rsid w:val="00411567"/>
    <w:rsid w:val="004219C3"/>
    <w:rsid w:val="00426F8D"/>
    <w:rsid w:val="00433C4F"/>
    <w:rsid w:val="00434811"/>
    <w:rsid w:val="00434CFB"/>
    <w:rsid w:val="00442370"/>
    <w:rsid w:val="00444C13"/>
    <w:rsid w:val="0044593D"/>
    <w:rsid w:val="00445D87"/>
    <w:rsid w:val="004512FA"/>
    <w:rsid w:val="00452CB4"/>
    <w:rsid w:val="00455583"/>
    <w:rsid w:val="00455A1F"/>
    <w:rsid w:val="00457580"/>
    <w:rsid w:val="0046386A"/>
    <w:rsid w:val="00466281"/>
    <w:rsid w:val="00467B90"/>
    <w:rsid w:val="004702EE"/>
    <w:rsid w:val="0047267A"/>
    <w:rsid w:val="004750E1"/>
    <w:rsid w:val="00476A81"/>
    <w:rsid w:val="00476DE0"/>
    <w:rsid w:val="00480140"/>
    <w:rsid w:val="00481B9D"/>
    <w:rsid w:val="0048420A"/>
    <w:rsid w:val="00484E03"/>
    <w:rsid w:val="00485035"/>
    <w:rsid w:val="0049280F"/>
    <w:rsid w:val="0049299C"/>
    <w:rsid w:val="00492E13"/>
    <w:rsid w:val="004A7161"/>
    <w:rsid w:val="004B65FD"/>
    <w:rsid w:val="004C6DDE"/>
    <w:rsid w:val="004D1126"/>
    <w:rsid w:val="004D261A"/>
    <w:rsid w:val="004D7C80"/>
    <w:rsid w:val="004E60C4"/>
    <w:rsid w:val="004F3B55"/>
    <w:rsid w:val="004F7917"/>
    <w:rsid w:val="0050434A"/>
    <w:rsid w:val="00512062"/>
    <w:rsid w:val="005234C2"/>
    <w:rsid w:val="005245ED"/>
    <w:rsid w:val="00525130"/>
    <w:rsid w:val="005255B7"/>
    <w:rsid w:val="00535EB3"/>
    <w:rsid w:val="00546704"/>
    <w:rsid w:val="00550CC0"/>
    <w:rsid w:val="00552C7C"/>
    <w:rsid w:val="00557FCA"/>
    <w:rsid w:val="00561917"/>
    <w:rsid w:val="00561F83"/>
    <w:rsid w:val="00563AB7"/>
    <w:rsid w:val="005667EE"/>
    <w:rsid w:val="00566B63"/>
    <w:rsid w:val="00566F8B"/>
    <w:rsid w:val="00567105"/>
    <w:rsid w:val="00575505"/>
    <w:rsid w:val="00580472"/>
    <w:rsid w:val="0058163C"/>
    <w:rsid w:val="005852E1"/>
    <w:rsid w:val="00585E65"/>
    <w:rsid w:val="00587616"/>
    <w:rsid w:val="005A1392"/>
    <w:rsid w:val="005A3527"/>
    <w:rsid w:val="005B4CB2"/>
    <w:rsid w:val="005B79C1"/>
    <w:rsid w:val="005C534D"/>
    <w:rsid w:val="005D17AA"/>
    <w:rsid w:val="005E24E3"/>
    <w:rsid w:val="005E53BD"/>
    <w:rsid w:val="005F1D75"/>
    <w:rsid w:val="005F46D9"/>
    <w:rsid w:val="005F62E4"/>
    <w:rsid w:val="005F695F"/>
    <w:rsid w:val="005F7078"/>
    <w:rsid w:val="00606C39"/>
    <w:rsid w:val="0060717D"/>
    <w:rsid w:val="00610371"/>
    <w:rsid w:val="00616FC3"/>
    <w:rsid w:val="00623BED"/>
    <w:rsid w:val="00627EEC"/>
    <w:rsid w:val="006353FE"/>
    <w:rsid w:val="006356A4"/>
    <w:rsid w:val="0063786A"/>
    <w:rsid w:val="006477EF"/>
    <w:rsid w:val="00650A5F"/>
    <w:rsid w:val="006510DB"/>
    <w:rsid w:val="00651AA5"/>
    <w:rsid w:val="00656C3C"/>
    <w:rsid w:val="00661AA8"/>
    <w:rsid w:val="0067459A"/>
    <w:rsid w:val="006826D8"/>
    <w:rsid w:val="00693EEB"/>
    <w:rsid w:val="006959C9"/>
    <w:rsid w:val="00696F69"/>
    <w:rsid w:val="006A0FFD"/>
    <w:rsid w:val="006A2381"/>
    <w:rsid w:val="006A51D9"/>
    <w:rsid w:val="006A5206"/>
    <w:rsid w:val="006B0DB3"/>
    <w:rsid w:val="006B6EFD"/>
    <w:rsid w:val="006C007A"/>
    <w:rsid w:val="006D2F47"/>
    <w:rsid w:val="006D606D"/>
    <w:rsid w:val="006D7F6C"/>
    <w:rsid w:val="006E2FE8"/>
    <w:rsid w:val="006E4D80"/>
    <w:rsid w:val="006E71C1"/>
    <w:rsid w:val="0070243F"/>
    <w:rsid w:val="00702F90"/>
    <w:rsid w:val="007106F6"/>
    <w:rsid w:val="00713C1D"/>
    <w:rsid w:val="007152DF"/>
    <w:rsid w:val="00716EBA"/>
    <w:rsid w:val="00717F7E"/>
    <w:rsid w:val="0073257D"/>
    <w:rsid w:val="00732CC4"/>
    <w:rsid w:val="007426F3"/>
    <w:rsid w:val="007451FF"/>
    <w:rsid w:val="00750E1A"/>
    <w:rsid w:val="00752FD6"/>
    <w:rsid w:val="00753234"/>
    <w:rsid w:val="0075363A"/>
    <w:rsid w:val="0075569C"/>
    <w:rsid w:val="007664BE"/>
    <w:rsid w:val="007674D0"/>
    <w:rsid w:val="007841B7"/>
    <w:rsid w:val="00784215"/>
    <w:rsid w:val="00791897"/>
    <w:rsid w:val="0079252C"/>
    <w:rsid w:val="00794C10"/>
    <w:rsid w:val="007964B2"/>
    <w:rsid w:val="007A0530"/>
    <w:rsid w:val="007A36D1"/>
    <w:rsid w:val="007A546D"/>
    <w:rsid w:val="007B0495"/>
    <w:rsid w:val="007C26C1"/>
    <w:rsid w:val="007C4D29"/>
    <w:rsid w:val="007D3882"/>
    <w:rsid w:val="007E00B2"/>
    <w:rsid w:val="007E278E"/>
    <w:rsid w:val="007E7950"/>
    <w:rsid w:val="007F147B"/>
    <w:rsid w:val="007F25A9"/>
    <w:rsid w:val="007F289C"/>
    <w:rsid w:val="007F466E"/>
    <w:rsid w:val="007F7549"/>
    <w:rsid w:val="008010A6"/>
    <w:rsid w:val="00812B7D"/>
    <w:rsid w:val="00815EF7"/>
    <w:rsid w:val="00820B57"/>
    <w:rsid w:val="0082235D"/>
    <w:rsid w:val="008267F4"/>
    <w:rsid w:val="0083038F"/>
    <w:rsid w:val="008329D1"/>
    <w:rsid w:val="008413A2"/>
    <w:rsid w:val="00842277"/>
    <w:rsid w:val="00845046"/>
    <w:rsid w:val="008450CD"/>
    <w:rsid w:val="00845E12"/>
    <w:rsid w:val="008536EA"/>
    <w:rsid w:val="008569EF"/>
    <w:rsid w:val="00861C8B"/>
    <w:rsid w:val="00862AE1"/>
    <w:rsid w:val="00863D73"/>
    <w:rsid w:val="008827D2"/>
    <w:rsid w:val="008839D0"/>
    <w:rsid w:val="008863D9"/>
    <w:rsid w:val="00890BD2"/>
    <w:rsid w:val="00897E74"/>
    <w:rsid w:val="008A0ECF"/>
    <w:rsid w:val="008C72DC"/>
    <w:rsid w:val="008D1206"/>
    <w:rsid w:val="008D3152"/>
    <w:rsid w:val="008E00BD"/>
    <w:rsid w:val="008E3253"/>
    <w:rsid w:val="008E4D4D"/>
    <w:rsid w:val="008E721C"/>
    <w:rsid w:val="009012C9"/>
    <w:rsid w:val="00911226"/>
    <w:rsid w:val="00913551"/>
    <w:rsid w:val="009302C0"/>
    <w:rsid w:val="00940CF5"/>
    <w:rsid w:val="00942B85"/>
    <w:rsid w:val="009503D8"/>
    <w:rsid w:val="00951EAD"/>
    <w:rsid w:val="00951FC9"/>
    <w:rsid w:val="009533D7"/>
    <w:rsid w:val="00954B41"/>
    <w:rsid w:val="00954DD6"/>
    <w:rsid w:val="009610BF"/>
    <w:rsid w:val="0096446B"/>
    <w:rsid w:val="009747CF"/>
    <w:rsid w:val="00981F7A"/>
    <w:rsid w:val="0098220B"/>
    <w:rsid w:val="00990332"/>
    <w:rsid w:val="009941AD"/>
    <w:rsid w:val="009A3A8F"/>
    <w:rsid w:val="009C0F8C"/>
    <w:rsid w:val="009C1FE6"/>
    <w:rsid w:val="009C62C4"/>
    <w:rsid w:val="009D0D47"/>
    <w:rsid w:val="009D24C8"/>
    <w:rsid w:val="009D33AE"/>
    <w:rsid w:val="009E1888"/>
    <w:rsid w:val="009E1B1E"/>
    <w:rsid w:val="009E69F1"/>
    <w:rsid w:val="009E6F47"/>
    <w:rsid w:val="009F163F"/>
    <w:rsid w:val="009F3CE4"/>
    <w:rsid w:val="009F5FC6"/>
    <w:rsid w:val="00A1256D"/>
    <w:rsid w:val="00A13D93"/>
    <w:rsid w:val="00A1405E"/>
    <w:rsid w:val="00A17AC7"/>
    <w:rsid w:val="00A2025E"/>
    <w:rsid w:val="00A2204E"/>
    <w:rsid w:val="00A2282B"/>
    <w:rsid w:val="00A24128"/>
    <w:rsid w:val="00A4060C"/>
    <w:rsid w:val="00A41B1B"/>
    <w:rsid w:val="00A52100"/>
    <w:rsid w:val="00A7003F"/>
    <w:rsid w:val="00A74864"/>
    <w:rsid w:val="00A81AC1"/>
    <w:rsid w:val="00A844FC"/>
    <w:rsid w:val="00AA791C"/>
    <w:rsid w:val="00AC2683"/>
    <w:rsid w:val="00AC3559"/>
    <w:rsid w:val="00AC46F5"/>
    <w:rsid w:val="00AC7DBD"/>
    <w:rsid w:val="00AD454E"/>
    <w:rsid w:val="00AE14CE"/>
    <w:rsid w:val="00AE215E"/>
    <w:rsid w:val="00AE35DC"/>
    <w:rsid w:val="00AE7875"/>
    <w:rsid w:val="00AF370E"/>
    <w:rsid w:val="00AF3C23"/>
    <w:rsid w:val="00AF5269"/>
    <w:rsid w:val="00B00D10"/>
    <w:rsid w:val="00B07694"/>
    <w:rsid w:val="00B17EA3"/>
    <w:rsid w:val="00B205F0"/>
    <w:rsid w:val="00B247F0"/>
    <w:rsid w:val="00B35EE0"/>
    <w:rsid w:val="00B47D7E"/>
    <w:rsid w:val="00B55C1D"/>
    <w:rsid w:val="00B63595"/>
    <w:rsid w:val="00B74A8F"/>
    <w:rsid w:val="00B82511"/>
    <w:rsid w:val="00B864C5"/>
    <w:rsid w:val="00B9188F"/>
    <w:rsid w:val="00B920FE"/>
    <w:rsid w:val="00B94904"/>
    <w:rsid w:val="00B97E4D"/>
    <w:rsid w:val="00BA2DD7"/>
    <w:rsid w:val="00BB3931"/>
    <w:rsid w:val="00BB3EA8"/>
    <w:rsid w:val="00BB7D85"/>
    <w:rsid w:val="00BC44CD"/>
    <w:rsid w:val="00BC5A28"/>
    <w:rsid w:val="00BC5B4B"/>
    <w:rsid w:val="00BC72C1"/>
    <w:rsid w:val="00C024C5"/>
    <w:rsid w:val="00C07BA2"/>
    <w:rsid w:val="00C2048F"/>
    <w:rsid w:val="00C22557"/>
    <w:rsid w:val="00C24CB9"/>
    <w:rsid w:val="00C2607D"/>
    <w:rsid w:val="00C34E49"/>
    <w:rsid w:val="00C369C8"/>
    <w:rsid w:val="00C42F69"/>
    <w:rsid w:val="00C4398E"/>
    <w:rsid w:val="00C50124"/>
    <w:rsid w:val="00C50DBE"/>
    <w:rsid w:val="00C52565"/>
    <w:rsid w:val="00C52FEB"/>
    <w:rsid w:val="00C5337D"/>
    <w:rsid w:val="00C574C6"/>
    <w:rsid w:val="00C63BB9"/>
    <w:rsid w:val="00C7558B"/>
    <w:rsid w:val="00C766B2"/>
    <w:rsid w:val="00C77351"/>
    <w:rsid w:val="00C813B6"/>
    <w:rsid w:val="00C81BD1"/>
    <w:rsid w:val="00C8579E"/>
    <w:rsid w:val="00C90C49"/>
    <w:rsid w:val="00C95BBC"/>
    <w:rsid w:val="00C95D0A"/>
    <w:rsid w:val="00C973D9"/>
    <w:rsid w:val="00C97C83"/>
    <w:rsid w:val="00CA4C12"/>
    <w:rsid w:val="00CA68FD"/>
    <w:rsid w:val="00CA760A"/>
    <w:rsid w:val="00CB1CCD"/>
    <w:rsid w:val="00CB5C2F"/>
    <w:rsid w:val="00CC0377"/>
    <w:rsid w:val="00CC37AD"/>
    <w:rsid w:val="00CC6802"/>
    <w:rsid w:val="00CD067E"/>
    <w:rsid w:val="00CD1A7D"/>
    <w:rsid w:val="00CD1D38"/>
    <w:rsid w:val="00CD358F"/>
    <w:rsid w:val="00CD3DAE"/>
    <w:rsid w:val="00CD5603"/>
    <w:rsid w:val="00CD7783"/>
    <w:rsid w:val="00CD7BE0"/>
    <w:rsid w:val="00CE4B12"/>
    <w:rsid w:val="00D0067F"/>
    <w:rsid w:val="00D01738"/>
    <w:rsid w:val="00D114BC"/>
    <w:rsid w:val="00D22C90"/>
    <w:rsid w:val="00D24566"/>
    <w:rsid w:val="00D260BC"/>
    <w:rsid w:val="00D36CCA"/>
    <w:rsid w:val="00D373EE"/>
    <w:rsid w:val="00D40490"/>
    <w:rsid w:val="00D55BB8"/>
    <w:rsid w:val="00D60C5D"/>
    <w:rsid w:val="00D63BF5"/>
    <w:rsid w:val="00D71233"/>
    <w:rsid w:val="00D71962"/>
    <w:rsid w:val="00D927C4"/>
    <w:rsid w:val="00D93FEB"/>
    <w:rsid w:val="00D9472C"/>
    <w:rsid w:val="00D9761A"/>
    <w:rsid w:val="00DA244C"/>
    <w:rsid w:val="00DB1C13"/>
    <w:rsid w:val="00DB3022"/>
    <w:rsid w:val="00DC2AB8"/>
    <w:rsid w:val="00DC5486"/>
    <w:rsid w:val="00DD291F"/>
    <w:rsid w:val="00DD3D5A"/>
    <w:rsid w:val="00DD590E"/>
    <w:rsid w:val="00DD6C11"/>
    <w:rsid w:val="00DE6E69"/>
    <w:rsid w:val="00DF6DCB"/>
    <w:rsid w:val="00DF7D74"/>
    <w:rsid w:val="00E13661"/>
    <w:rsid w:val="00E1389D"/>
    <w:rsid w:val="00E21B81"/>
    <w:rsid w:val="00E322A9"/>
    <w:rsid w:val="00E378B4"/>
    <w:rsid w:val="00E52FCD"/>
    <w:rsid w:val="00E54207"/>
    <w:rsid w:val="00E749E8"/>
    <w:rsid w:val="00E81256"/>
    <w:rsid w:val="00E81890"/>
    <w:rsid w:val="00E84682"/>
    <w:rsid w:val="00E860FE"/>
    <w:rsid w:val="00E955D7"/>
    <w:rsid w:val="00E956E4"/>
    <w:rsid w:val="00E97271"/>
    <w:rsid w:val="00EA02EA"/>
    <w:rsid w:val="00EB53EF"/>
    <w:rsid w:val="00EB65F2"/>
    <w:rsid w:val="00EB69B1"/>
    <w:rsid w:val="00EB6DD7"/>
    <w:rsid w:val="00EC201D"/>
    <w:rsid w:val="00EC3AB0"/>
    <w:rsid w:val="00EC484E"/>
    <w:rsid w:val="00EC7F07"/>
    <w:rsid w:val="00ED6C83"/>
    <w:rsid w:val="00EE36FE"/>
    <w:rsid w:val="00EE3C4C"/>
    <w:rsid w:val="00EF0105"/>
    <w:rsid w:val="00EF1BD1"/>
    <w:rsid w:val="00EF68CE"/>
    <w:rsid w:val="00EF6D7B"/>
    <w:rsid w:val="00F01652"/>
    <w:rsid w:val="00F03A4E"/>
    <w:rsid w:val="00F050E6"/>
    <w:rsid w:val="00F058CF"/>
    <w:rsid w:val="00F12167"/>
    <w:rsid w:val="00F14761"/>
    <w:rsid w:val="00F20CAD"/>
    <w:rsid w:val="00F2125F"/>
    <w:rsid w:val="00F23340"/>
    <w:rsid w:val="00F2359C"/>
    <w:rsid w:val="00F31D9E"/>
    <w:rsid w:val="00F358DA"/>
    <w:rsid w:val="00F40140"/>
    <w:rsid w:val="00F40E90"/>
    <w:rsid w:val="00F41A4B"/>
    <w:rsid w:val="00F43905"/>
    <w:rsid w:val="00F44A80"/>
    <w:rsid w:val="00F4598D"/>
    <w:rsid w:val="00F52F9D"/>
    <w:rsid w:val="00F62B63"/>
    <w:rsid w:val="00F63906"/>
    <w:rsid w:val="00F73622"/>
    <w:rsid w:val="00F80954"/>
    <w:rsid w:val="00F868C1"/>
    <w:rsid w:val="00F92194"/>
    <w:rsid w:val="00FA579D"/>
    <w:rsid w:val="00FB48D3"/>
    <w:rsid w:val="00FC25B8"/>
    <w:rsid w:val="00FC3D1E"/>
    <w:rsid w:val="00FC3E87"/>
    <w:rsid w:val="00FC5649"/>
    <w:rsid w:val="00FC577F"/>
    <w:rsid w:val="00FC7E60"/>
    <w:rsid w:val="00FD184F"/>
    <w:rsid w:val="00FE01F4"/>
    <w:rsid w:val="00FE2314"/>
    <w:rsid w:val="00FF138C"/>
    <w:rsid w:val="00FF2F12"/>
    <w:rsid w:val="00FF424F"/>
    <w:rsid w:val="00FF440D"/>
    <w:rsid w:val="00FF5148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CE4830C-3424-44C6-B863-9B5EDFF9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91C"/>
    <w:rPr>
      <w:rFonts w:ascii="Arial" w:hAnsi="Arial"/>
      <w:sz w:val="22"/>
      <w:szCs w:val="24"/>
    </w:rPr>
  </w:style>
  <w:style w:type="paragraph" w:styleId="Heading1">
    <w:name w:val="heading 1"/>
    <w:next w:val="Normal"/>
    <w:link w:val="Heading1Char"/>
    <w:uiPriority w:val="9"/>
    <w:qFormat/>
    <w:rsid w:val="00FD184F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2C4"/>
    <w:pPr>
      <w:spacing w:before="120"/>
      <w:outlineLvl w:val="1"/>
    </w:pPr>
    <w:rPr>
      <w:b/>
      <w:sz w:val="24"/>
      <w:lang w:val="x-none" w:eastAsia="x-none"/>
    </w:rPr>
  </w:style>
  <w:style w:type="paragraph" w:styleId="Heading3">
    <w:name w:val="heading 3"/>
    <w:next w:val="Normal"/>
    <w:link w:val="Heading3Char"/>
    <w:uiPriority w:val="9"/>
    <w:unhideWhenUsed/>
    <w:qFormat/>
    <w:rsid w:val="007C4D29"/>
    <w:pPr>
      <w:outlineLvl w:val="2"/>
    </w:pPr>
    <w:rPr>
      <w:rFonts w:ascii="Arial" w:hAnsi="Arial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72C1"/>
    <w:pPr>
      <w:spacing w:before="120" w:after="60"/>
      <w:outlineLvl w:val="3"/>
    </w:pPr>
    <w:rPr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72C1"/>
    <w:pPr>
      <w:jc w:val="center"/>
      <w:outlineLvl w:val="4"/>
    </w:pPr>
    <w:rPr>
      <w:color w:val="00000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0A5F"/>
    <w:pPr>
      <w:tabs>
        <w:tab w:val="left" w:pos="900"/>
        <w:tab w:val="left" w:pos="1260"/>
      </w:tabs>
      <w:spacing w:after="120"/>
      <w:outlineLvl w:val="5"/>
    </w:pPr>
    <w:rPr>
      <w:smallCaps/>
      <w:color w:val="000000"/>
      <w:szCs w:val="22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9D1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8329D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3E6079"/>
  </w:style>
  <w:style w:type="paragraph" w:styleId="BalloonText">
    <w:name w:val="Balloon Text"/>
    <w:basedOn w:val="Normal"/>
    <w:semiHidden/>
    <w:rsid w:val="003E6079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3E6079"/>
    <w:rPr>
      <w:b/>
      <w:bCs/>
    </w:rPr>
  </w:style>
  <w:style w:type="character" w:styleId="Hyperlink">
    <w:name w:val="Hyperlink"/>
    <w:rsid w:val="003E6079"/>
    <w:rPr>
      <w:color w:val="0000FF"/>
      <w:u w:val="single"/>
    </w:rPr>
  </w:style>
  <w:style w:type="character" w:styleId="CommentReference">
    <w:name w:val="annotation reference"/>
    <w:semiHidden/>
    <w:rsid w:val="003E60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60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6079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FD184F"/>
    <w:rPr>
      <w:rFonts w:ascii="Arial" w:hAnsi="Arial"/>
      <w:b/>
      <w:bCs/>
      <w:kern w:val="32"/>
      <w:sz w:val="28"/>
      <w:szCs w:val="32"/>
      <w:lang w:bidi="ar-SA"/>
    </w:rPr>
  </w:style>
  <w:style w:type="character" w:customStyle="1" w:styleId="HeaderChar">
    <w:name w:val="Header Char"/>
    <w:link w:val="Header"/>
    <w:uiPriority w:val="99"/>
    <w:rsid w:val="008329D1"/>
    <w:rPr>
      <w:rFonts w:ascii="Arial" w:hAnsi="Arial"/>
      <w:sz w:val="22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1A54E2"/>
    <w:pPr>
      <w:ind w:left="720"/>
    </w:pPr>
  </w:style>
  <w:style w:type="character" w:customStyle="1" w:styleId="Heading2Char">
    <w:name w:val="Heading 2 Char"/>
    <w:link w:val="Heading2"/>
    <w:uiPriority w:val="9"/>
    <w:rsid w:val="009C62C4"/>
    <w:rPr>
      <w:rFonts w:ascii="Arial" w:hAnsi="Arial"/>
      <w:b/>
      <w:sz w:val="24"/>
      <w:szCs w:val="24"/>
    </w:rPr>
  </w:style>
  <w:style w:type="character" w:customStyle="1" w:styleId="Heading3Char">
    <w:name w:val="Heading 3 Char"/>
    <w:link w:val="Heading3"/>
    <w:uiPriority w:val="9"/>
    <w:rsid w:val="007C4D29"/>
    <w:rPr>
      <w:rFonts w:ascii="Arial" w:hAnsi="Arial"/>
      <w:szCs w:val="16"/>
      <w:lang w:bidi="ar-SA"/>
    </w:rPr>
  </w:style>
  <w:style w:type="character" w:customStyle="1" w:styleId="Heading4Char">
    <w:name w:val="Heading 4 Char"/>
    <w:link w:val="Heading4"/>
    <w:uiPriority w:val="9"/>
    <w:rsid w:val="00BC72C1"/>
    <w:rPr>
      <w:rFonts w:ascii="Arial" w:hAnsi="Arial"/>
      <w:sz w:val="22"/>
      <w:szCs w:val="24"/>
      <w:u w:val="single"/>
    </w:rPr>
  </w:style>
  <w:style w:type="character" w:customStyle="1" w:styleId="Heading5Char">
    <w:name w:val="Heading 5 Char"/>
    <w:link w:val="Heading5"/>
    <w:uiPriority w:val="9"/>
    <w:rsid w:val="00BC72C1"/>
    <w:rPr>
      <w:rFonts w:ascii="Arial" w:hAnsi="Arial"/>
      <w:color w:val="000000"/>
      <w:sz w:val="22"/>
      <w:szCs w:val="24"/>
    </w:rPr>
  </w:style>
  <w:style w:type="character" w:customStyle="1" w:styleId="Heading6Char">
    <w:name w:val="Heading 6 Char"/>
    <w:link w:val="Heading6"/>
    <w:uiPriority w:val="9"/>
    <w:rsid w:val="00650A5F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FooterChar">
    <w:name w:val="Footer Char"/>
    <w:link w:val="Footer"/>
    <w:uiPriority w:val="99"/>
    <w:rsid w:val="008329D1"/>
    <w:rPr>
      <w:rFonts w:ascii="Arial" w:hAnsi="Arial"/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80472"/>
    <w:rPr>
      <w:b/>
      <w:bCs/>
      <w:sz w:val="20"/>
      <w:szCs w:val="20"/>
    </w:rPr>
  </w:style>
  <w:style w:type="paragraph" w:customStyle="1" w:styleId="Default">
    <w:name w:val="Default"/>
    <w:rsid w:val="00D9761A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da-DK" w:eastAsia="da-DK"/>
    </w:rPr>
  </w:style>
  <w:style w:type="paragraph" w:customStyle="1" w:styleId="syl">
    <w:name w:val="syl"/>
    <w:rsid w:val="00863D73"/>
    <w:pPr>
      <w:tabs>
        <w:tab w:val="left" w:pos="2160"/>
      </w:tabs>
      <w:suppressAutoHyphens/>
      <w:spacing w:before="120"/>
      <w:ind w:left="2160" w:hanging="2160"/>
      <w:jc w:val="both"/>
    </w:pPr>
    <w:rPr>
      <w:sz w:val="24"/>
    </w:rPr>
  </w:style>
  <w:style w:type="character" w:customStyle="1" w:styleId="CommentTextChar">
    <w:name w:val="Comment Text Char"/>
    <w:link w:val="CommentText"/>
    <w:rsid w:val="00863D73"/>
  </w:style>
  <w:style w:type="paragraph" w:styleId="FootnoteText">
    <w:name w:val="footnote text"/>
    <w:basedOn w:val="Normal"/>
    <w:link w:val="FootnoteTextChar"/>
    <w:uiPriority w:val="99"/>
    <w:semiHidden/>
    <w:unhideWhenUsed/>
    <w:rsid w:val="007C4D29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7C4D29"/>
    <w:rPr>
      <w:rFonts w:ascii="Arial" w:hAnsi="Arial"/>
    </w:rPr>
  </w:style>
  <w:style w:type="character" w:styleId="FootnoteReference">
    <w:name w:val="footnote reference"/>
    <w:uiPriority w:val="99"/>
    <w:unhideWhenUsed/>
    <w:rsid w:val="007C4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49C6B-0F76-4A64-8D46-F8E27AC6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5424</Words>
  <Characters>30922</Characters>
  <Application>Microsoft Office Word</Application>
  <DocSecurity>0</DocSecurity>
  <Lines>257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Surgical and Procedural Interventions</vt:lpstr>
      <vt:lpstr>Surgical and Procedural Interventions</vt:lpstr>
    </vt:vector>
  </TitlesOfParts>
  <Company>KAI, Inc.</Company>
  <LinksUpToDate>false</LinksUpToDate>
  <CharactersWithSpaces>36274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Biomarkers in Mitochondrial Disease</dc:title>
  <dc:subject>CRF</dc:subject>
  <dc:creator>NINDS</dc:creator>
  <cp:keywords>NINDS, CRF, Biomarkers in Mitochondrial Disease</cp:keywords>
  <cp:lastModifiedBy>Andy Franklin</cp:lastModifiedBy>
  <cp:revision>3</cp:revision>
  <cp:lastPrinted>2014-10-21T15:46:00Z</cp:lastPrinted>
  <dcterms:created xsi:type="dcterms:W3CDTF">2015-04-01T16:19:00Z</dcterms:created>
  <dcterms:modified xsi:type="dcterms:W3CDTF">2015-04-01T16:20:00Z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