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6F" w:rsidRPr="0038295A" w:rsidRDefault="00217A4A" w:rsidP="0038295A">
      <w:pPr>
        <w:numPr>
          <w:ilvl w:val="0"/>
          <w:numId w:val="4"/>
        </w:numPr>
        <w:spacing w:line="240" w:lineRule="auto"/>
        <w:rPr>
          <w:rFonts w:ascii="Arial Narrow" w:hAnsi="Arial Narrow" w:cs="Calibri"/>
        </w:rPr>
      </w:pPr>
      <w:bookmarkStart w:id="0" w:name="_GoBack"/>
      <w:bookmarkEnd w:id="0"/>
      <w:r w:rsidRPr="0038295A">
        <w:rPr>
          <w:rFonts w:ascii="Arial Narrow" w:hAnsi="Arial Narrow" w:cs="Calibri"/>
        </w:rPr>
        <w:t>Introduction and Background to Decisions</w:t>
      </w:r>
    </w:p>
    <w:p w:rsidR="007C7FCD" w:rsidRPr="006A58C1" w:rsidRDefault="007C7FCD" w:rsidP="0038295A">
      <w:pPr>
        <w:spacing w:before="120" w:after="60"/>
      </w:pPr>
      <w:r w:rsidRPr="006A58C1">
        <w:t>Discussions of the group were focused on the draft from the multiple sclerosis (MS) Common Data Elements (CDE) document.  Text of the neuromuscular group borrows heavily from the antecedent work of the MS group.</w:t>
      </w:r>
    </w:p>
    <w:p w:rsidR="007553F2" w:rsidRPr="006A58C1" w:rsidRDefault="00140DB6" w:rsidP="0038295A">
      <w:pPr>
        <w:spacing w:before="120" w:after="60"/>
      </w:pPr>
      <w:r w:rsidRPr="006A58C1">
        <w:t xml:space="preserve">Two aspects of this topic were reviewed by the Subgroup – biospecimen collection and </w:t>
      </w:r>
      <w:r w:rsidR="007931B5" w:rsidRPr="006A58C1">
        <w:t xml:space="preserve">clinically relevant </w:t>
      </w:r>
      <w:r w:rsidR="007C7FCD" w:rsidRPr="006A58C1">
        <w:t>biomarkers in neuromuscular</w:t>
      </w:r>
      <w:r w:rsidRPr="006A58C1">
        <w:t xml:space="preserve"> </w:t>
      </w:r>
      <w:r w:rsidR="006A58C1" w:rsidRPr="006A58C1">
        <w:t xml:space="preserve">diseases </w:t>
      </w:r>
      <w:r w:rsidRPr="006A58C1">
        <w:t>derived from those specimens. Specifically not addressed in terms of biomarkers, was the aspect of imaging biomarkers</w:t>
      </w:r>
      <w:r w:rsidR="009C7BB4" w:rsidRPr="006A58C1">
        <w:t xml:space="preserve"> as this is addressed by the Imaging Subgroup</w:t>
      </w:r>
      <w:r w:rsidRPr="006A58C1">
        <w:t>.</w:t>
      </w:r>
      <w:r w:rsidR="007553F2" w:rsidRPr="006A58C1">
        <w:t xml:space="preserve"> </w:t>
      </w:r>
    </w:p>
    <w:p w:rsidR="007C7FCD" w:rsidRPr="006A58C1" w:rsidRDefault="0008276F" w:rsidP="0038295A">
      <w:pPr>
        <w:spacing w:before="120" w:after="60"/>
      </w:pPr>
      <w:r w:rsidRPr="006A58C1">
        <w:t xml:space="preserve">The Subgroup </w:t>
      </w:r>
      <w:r w:rsidR="000348A6" w:rsidRPr="006A58C1">
        <w:t>decided</w:t>
      </w:r>
      <w:r w:rsidRPr="006A58C1">
        <w:t xml:space="preserve"> to review</w:t>
      </w:r>
      <w:r w:rsidR="00140DB6" w:rsidRPr="006A58C1">
        <w:t>, as an initial step,</w:t>
      </w:r>
      <w:r w:rsidRPr="006A58C1">
        <w:t xml:space="preserve"> the biospecimen recommendations </w:t>
      </w:r>
      <w:r w:rsidR="007C7FCD" w:rsidRPr="006A58C1">
        <w:t xml:space="preserve">of the MS biospecimen group, and </w:t>
      </w:r>
      <w:r w:rsidRPr="006A58C1">
        <w:t xml:space="preserve">from other disease areas </w:t>
      </w:r>
      <w:r w:rsidR="00140DB6" w:rsidRPr="006A58C1">
        <w:t>that have undergone a similar process with NINDS</w:t>
      </w:r>
      <w:r w:rsidR="000348A6" w:rsidRPr="006A58C1">
        <w:t xml:space="preserve">, </w:t>
      </w:r>
      <w:r w:rsidRPr="006A58C1">
        <w:t xml:space="preserve">beginning with procedural issues </w:t>
      </w:r>
      <w:r w:rsidR="00140DB6" w:rsidRPr="006A58C1">
        <w:t>related to obtaining biospecimens</w:t>
      </w:r>
      <w:r w:rsidR="007553F2" w:rsidRPr="006A58C1">
        <w:t xml:space="preserve">. </w:t>
      </w:r>
    </w:p>
    <w:p w:rsidR="007C7FCD" w:rsidRPr="0038295A" w:rsidRDefault="007C7FCD" w:rsidP="0038295A">
      <w:pPr>
        <w:numPr>
          <w:ilvl w:val="0"/>
          <w:numId w:val="5"/>
        </w:numPr>
      </w:pPr>
      <w:r w:rsidRPr="0038295A">
        <w:t xml:space="preserve">As with other CDE groups, it is strongly advised that </w:t>
      </w:r>
      <w:r w:rsidRPr="0038295A">
        <w:rPr>
          <w:u w:val="single"/>
        </w:rPr>
        <w:t>no</w:t>
      </w:r>
      <w:r w:rsidRPr="0038295A">
        <w:t xml:space="preserve"> specific biomarker or biospecimen CDE be </w:t>
      </w:r>
      <w:r w:rsidRPr="0038295A">
        <w:rPr>
          <w:u w:val="single"/>
        </w:rPr>
        <w:t>required</w:t>
      </w:r>
      <w:r w:rsidRPr="0038295A">
        <w:t xml:space="preserve"> as part of future clinical trials or studies. </w:t>
      </w:r>
    </w:p>
    <w:p w:rsidR="007C7FCD" w:rsidRPr="0038295A" w:rsidRDefault="007C7FCD" w:rsidP="0038295A">
      <w:pPr>
        <w:numPr>
          <w:ilvl w:val="0"/>
          <w:numId w:val="5"/>
        </w:numPr>
      </w:pPr>
      <w:r w:rsidRPr="0038295A">
        <w:t>Instead, a list of possible specimens and assays are provided as a potential ‘menu’ where menu items can be chosen as deemed relevant.</w:t>
      </w:r>
    </w:p>
    <w:p w:rsidR="00896121" w:rsidRPr="006A58C1" w:rsidRDefault="00C35B52" w:rsidP="0038295A">
      <w:pPr>
        <w:spacing w:before="120" w:after="60"/>
      </w:pPr>
      <w:r w:rsidRPr="006A58C1">
        <w:t>Each trial or study should</w:t>
      </w:r>
      <w:r w:rsidR="0008276F" w:rsidRPr="006A58C1">
        <w:t xml:space="preserve"> examin</w:t>
      </w:r>
      <w:r w:rsidR="007553F2" w:rsidRPr="006A58C1">
        <w:t>e</w:t>
      </w:r>
      <w:r w:rsidR="0008276F" w:rsidRPr="006A58C1">
        <w:t xml:space="preserve"> individual biomarkers</w:t>
      </w:r>
      <w:r w:rsidR="007553F2" w:rsidRPr="006A58C1">
        <w:t xml:space="preserve"> in part because</w:t>
      </w:r>
      <w:r w:rsidR="0008276F" w:rsidRPr="006A58C1">
        <w:t xml:space="preserve"> the biomarker</w:t>
      </w:r>
      <w:r w:rsidR="007553F2" w:rsidRPr="006A58C1">
        <w:t xml:space="preserve"> issue</w:t>
      </w:r>
      <w:r w:rsidR="0008276F" w:rsidRPr="006A58C1">
        <w:t xml:space="preserve">s are </w:t>
      </w:r>
      <w:r w:rsidR="007553F2" w:rsidRPr="006A58C1">
        <w:t xml:space="preserve">often </w:t>
      </w:r>
      <w:r w:rsidR="0008276F" w:rsidRPr="006A58C1">
        <w:t xml:space="preserve">situation-specific.  The biomarker elements </w:t>
      </w:r>
      <w:r w:rsidR="00140DB6" w:rsidRPr="006A58C1">
        <w:t>may</w:t>
      </w:r>
      <w:r w:rsidR="007553F2" w:rsidRPr="006A58C1">
        <w:t xml:space="preserve"> be</w:t>
      </w:r>
      <w:r w:rsidR="00140DB6" w:rsidRPr="006A58C1">
        <w:t>, in many instances,</w:t>
      </w:r>
      <w:r w:rsidR="0008276F" w:rsidRPr="006A58C1">
        <w:t xml:space="preserve"> different for disease-related </w:t>
      </w:r>
      <w:r w:rsidR="00140DB6" w:rsidRPr="006A58C1">
        <w:t xml:space="preserve">studies (looking for markers of disease progression) </w:t>
      </w:r>
      <w:r w:rsidR="0008276F" w:rsidRPr="006A58C1">
        <w:t>versus therapeutic studies</w:t>
      </w:r>
      <w:r w:rsidR="00140DB6" w:rsidRPr="006A58C1">
        <w:t xml:space="preserve"> (looking for markers that demonstrate differential responsiveness to specific therapies but which may not necessarily be markers of disease progression)</w:t>
      </w:r>
      <w:r w:rsidR="0008276F" w:rsidRPr="006A58C1">
        <w:t xml:space="preserve">. </w:t>
      </w:r>
      <w:r w:rsidR="00610CB2" w:rsidRPr="006A58C1">
        <w:t xml:space="preserve">Many however may serve dual purposes. </w:t>
      </w:r>
      <w:r w:rsidR="0008276F" w:rsidRPr="006A58C1">
        <w:t>The Subgroup review</w:t>
      </w:r>
      <w:r w:rsidR="00140DB6" w:rsidRPr="006A58C1">
        <w:t>ed available</w:t>
      </w:r>
      <w:r w:rsidR="0008276F" w:rsidRPr="006A58C1">
        <w:t xml:space="preserve"> information for standardizing the sample collection methodology and </w:t>
      </w:r>
      <w:r w:rsidR="00140DB6" w:rsidRPr="006A58C1">
        <w:t>was</w:t>
      </w:r>
      <w:r w:rsidR="007931B5" w:rsidRPr="006A58C1">
        <w:t xml:space="preserve"> charged</w:t>
      </w:r>
      <w:r w:rsidR="00140DB6" w:rsidRPr="006A58C1">
        <w:t xml:space="preserve"> to recommend </w:t>
      </w:r>
      <w:r w:rsidR="0008276F" w:rsidRPr="006A58C1">
        <w:t>revis</w:t>
      </w:r>
      <w:r w:rsidR="00140DB6" w:rsidRPr="006A58C1">
        <w:t>ions</w:t>
      </w:r>
      <w:r w:rsidR="0038295A">
        <w:t xml:space="preserve"> as appropriate. </w:t>
      </w:r>
      <w:r w:rsidR="000348A6" w:rsidRPr="006A58C1">
        <w:t>A</w:t>
      </w:r>
      <w:r w:rsidRPr="006A58C1">
        <w:t xml:space="preserve"> problem with Neuromuscular</w:t>
      </w:r>
      <w:r w:rsidR="0008276F" w:rsidRPr="006A58C1">
        <w:t xml:space="preserve"> biomarker research is the quality of the laboratory work as many studies</w:t>
      </w:r>
      <w:r w:rsidR="00140DB6" w:rsidRPr="006A58C1">
        <w:t>/centers</w:t>
      </w:r>
      <w:r w:rsidR="0008276F" w:rsidRPr="006A58C1">
        <w:t xml:space="preserve"> do not have the resources to follow Good Laboratory Practice (GLP). Th</w:t>
      </w:r>
      <w:r w:rsidR="000348A6" w:rsidRPr="006A58C1">
        <w:t xml:space="preserve">us, </w:t>
      </w:r>
      <w:r w:rsidR="0008276F" w:rsidRPr="006A58C1">
        <w:t>recommendations</w:t>
      </w:r>
      <w:r w:rsidR="000348A6" w:rsidRPr="006A58C1">
        <w:t xml:space="preserve"> would </w:t>
      </w:r>
      <w:r w:rsidR="00140DB6" w:rsidRPr="006A58C1">
        <w:t xml:space="preserve">by default </w:t>
      </w:r>
      <w:r w:rsidR="000348A6" w:rsidRPr="006A58C1">
        <w:t>be targeted</w:t>
      </w:r>
      <w:r w:rsidR="0008276F" w:rsidRPr="006A58C1">
        <w:t xml:space="preserve"> towards R01 grantees and </w:t>
      </w:r>
      <w:r w:rsidR="00140DB6" w:rsidRPr="006A58C1">
        <w:t xml:space="preserve">would </w:t>
      </w:r>
      <w:r w:rsidR="0008276F" w:rsidRPr="006A58C1">
        <w:t>try to adequately address quality control</w:t>
      </w:r>
      <w:r w:rsidR="0038295A">
        <w:t xml:space="preserve"> and validation issues.</w:t>
      </w:r>
    </w:p>
    <w:p w:rsidR="000348A6" w:rsidRPr="006A58C1" w:rsidRDefault="000348A6" w:rsidP="0038295A">
      <w:pPr>
        <w:spacing w:before="120" w:after="60"/>
      </w:pPr>
      <w:r w:rsidRPr="006A58C1">
        <w:t xml:space="preserve">DNA is important to capture and is of </w:t>
      </w:r>
      <w:r w:rsidR="007931B5" w:rsidRPr="006A58C1">
        <w:t xml:space="preserve">modest </w:t>
      </w:r>
      <w:r w:rsidRPr="006A58C1">
        <w:t>burden</w:t>
      </w:r>
      <w:r w:rsidR="007931B5" w:rsidRPr="006A58C1">
        <w:t xml:space="preserve"> (although rigorous SOPs must be in place to protect confidentiality)</w:t>
      </w:r>
      <w:r w:rsidRPr="006A58C1">
        <w:t xml:space="preserve">.  </w:t>
      </w:r>
      <w:r w:rsidR="00C35B52" w:rsidRPr="006A58C1">
        <w:t>Muscle biopsy,</w:t>
      </w:r>
      <w:r w:rsidR="00AA6C9E" w:rsidRPr="006A58C1">
        <w:t xml:space="preserve"> nerve biopsy,</w:t>
      </w:r>
      <w:r w:rsidR="00C35B52" w:rsidRPr="006A58C1">
        <w:t xml:space="preserve"> </w:t>
      </w:r>
      <w:r w:rsidRPr="006A58C1">
        <w:t xml:space="preserve">Plasma/ serum, </w:t>
      </w:r>
      <w:r w:rsidR="00C35B52" w:rsidRPr="006A58C1">
        <w:t xml:space="preserve">and </w:t>
      </w:r>
      <w:r w:rsidRPr="006A58C1">
        <w:t>PBMC seem reasonable to collect</w:t>
      </w:r>
      <w:r w:rsidR="00AA6C9E" w:rsidRPr="006A58C1">
        <w:t>, depending on the specific trial and endpoints</w:t>
      </w:r>
      <w:r w:rsidRPr="006A58C1">
        <w:t>. The Subgroup agreed it makes sense to provide standardized protocols for collecting the various samples</w:t>
      </w:r>
      <w:r w:rsidR="00934EA6" w:rsidRPr="006A58C1">
        <w:t xml:space="preserve"> but would further discuss mandating such collection while in parallel explor</w:t>
      </w:r>
      <w:r w:rsidR="004B69E8" w:rsidRPr="006A58C1">
        <w:t>e</w:t>
      </w:r>
      <w:r w:rsidR="00934EA6" w:rsidRPr="006A58C1">
        <w:t xml:space="preserve"> what samples to acquire, how best to handle</w:t>
      </w:r>
      <w:r w:rsidR="004B69E8" w:rsidRPr="006A58C1">
        <w:t xml:space="preserve"> the samples</w:t>
      </w:r>
      <w:r w:rsidR="00934EA6" w:rsidRPr="006A58C1">
        <w:t xml:space="preserve"> and provide some input on recommended testing</w:t>
      </w:r>
      <w:r w:rsidR="0038295A">
        <w:t>.</w:t>
      </w:r>
    </w:p>
    <w:p w:rsidR="00AA03FA" w:rsidRPr="0038295A" w:rsidRDefault="00AA03FA" w:rsidP="0038295A">
      <w:pPr>
        <w:numPr>
          <w:ilvl w:val="0"/>
          <w:numId w:val="4"/>
        </w:numPr>
        <w:tabs>
          <w:tab w:val="left" w:pos="720"/>
        </w:tabs>
        <w:jc w:val="both"/>
        <w:rPr>
          <w:rFonts w:ascii="Arial Narrow" w:hAnsi="Arial Narrow" w:cs="Arial"/>
        </w:rPr>
      </w:pPr>
      <w:r w:rsidRPr="0038295A">
        <w:rPr>
          <w:rFonts w:ascii="Arial Narrow" w:hAnsi="Arial Narrow" w:cs="Arial"/>
        </w:rPr>
        <w:t>Mandatory vs. Not Mandatory Collection of Biological Sampl</w:t>
      </w:r>
      <w:r w:rsidR="006A58C1" w:rsidRPr="0038295A">
        <w:rPr>
          <w:rFonts w:ascii="Arial Narrow" w:hAnsi="Arial Narrow" w:cs="Arial"/>
        </w:rPr>
        <w:t xml:space="preserve">es in all NIH-funded trials in </w:t>
      </w:r>
      <w:r w:rsidRPr="0038295A">
        <w:rPr>
          <w:rFonts w:ascii="Arial Narrow" w:hAnsi="Arial Narrow" w:cs="Arial"/>
        </w:rPr>
        <w:t>Neuromuscular</w:t>
      </w:r>
      <w:r w:rsidR="006A58C1" w:rsidRPr="0038295A">
        <w:rPr>
          <w:rFonts w:ascii="Arial Narrow" w:hAnsi="Arial Narrow" w:cs="Arial"/>
        </w:rPr>
        <w:t xml:space="preserve"> Diseases (NMD)</w:t>
      </w:r>
    </w:p>
    <w:p w:rsidR="00AA03FA" w:rsidRPr="00634A90" w:rsidRDefault="00AA03FA" w:rsidP="0038295A">
      <w:pPr>
        <w:spacing w:before="120" w:after="60"/>
      </w:pPr>
      <w:r w:rsidRPr="0038295A">
        <w:t>The Subgroup reviewed whether mandatory collection of samples should be recommended in order to foster research in bio-</w:t>
      </w:r>
      <w:r w:rsidR="006A58C1" w:rsidRPr="0038295A">
        <w:t xml:space="preserve">specimens in </w:t>
      </w:r>
      <w:r w:rsidRPr="0038295A">
        <w:t>Neuromuscular</w:t>
      </w:r>
      <w:r w:rsidR="006A58C1" w:rsidRPr="0038295A">
        <w:t xml:space="preserve"> diseases</w:t>
      </w:r>
      <w:r w:rsidRPr="0038295A">
        <w:t xml:space="preserve"> both within specific study protocols but also by making samples available widely to neuromuscular researchers.  The Subgroup consensus was that bio-specimens (e.g. blood for DNA and/or biomarkers; possibly muscle or nerve biopsy) could ideally be part of every NIH-funded study and that guidance could be given on how to collect and store samples. However, the view was that due to a lack of </w:t>
      </w:r>
      <w:r w:rsidRPr="0038295A">
        <w:lastRenderedPageBreak/>
        <w:t>definitive soluble biomarkers in neuromuscular</w:t>
      </w:r>
      <w:r w:rsidR="006A58C1" w:rsidRPr="0038295A">
        <w:t xml:space="preserve"> diseases</w:t>
      </w:r>
      <w:r w:rsidRPr="0038295A">
        <w:t>, it was not appropriate to specify which tests to perform.</w:t>
      </w:r>
      <w:r w:rsidRPr="00634A90">
        <w:t xml:space="preserve"> Which biomarkers to test should remain hypothesis-driven. If the mandatory requirements for obtaining samples deemed as Core elements remained modest, most study sites would be capable of participating.</w:t>
      </w:r>
    </w:p>
    <w:p w:rsidR="00AA03FA" w:rsidRPr="00634A90" w:rsidRDefault="00AA03FA" w:rsidP="0038295A">
      <w:pPr>
        <w:spacing w:before="120" w:after="60"/>
      </w:pPr>
      <w:r>
        <w:t>The Subgroup felt that many or most clinical trials or studies in neuromuscular</w:t>
      </w:r>
      <w:r w:rsidR="006A58C1">
        <w:t xml:space="preserve"> diseases</w:t>
      </w:r>
      <w:r>
        <w:t xml:space="preserve"> may require stratification and/or knowledge of genetic diagnosis (e.g. specific gene mutations in one of the 50+ genes causing muscular dystrophy, 20+ genes causing ALS, or 30+ genes causing peripheral neuropathies).  Thus, obtaining DNA and banking the DNA samples may be included as part of clinical studies.  Banked DNA could be useful for future studies of genetic modifiers (polymorphisms predisposing to treatment response or disease severity).</w:t>
      </w:r>
    </w:p>
    <w:p w:rsidR="00AA03FA" w:rsidRPr="00634A90" w:rsidRDefault="00AA03FA" w:rsidP="0038295A">
      <w:pPr>
        <w:spacing w:before="120" w:after="60"/>
      </w:pPr>
      <w:r w:rsidRPr="00634A90">
        <w:t xml:space="preserve">Another key issue regarding mandating sample collection is funding, which is not trivial, particularly given the current economic and research environment. Mandating collection would require provision of funding to investigators who include sample collection in the protocols. The NINDS noted this could make it more difficult to get grant approval as this aspect may in some cases, in the eye of reviewer, rate a lower study score if not properly incorporated with adequate scientific rigor. An alternate method would be provision of supplementary funding to investigators as a means to encourage voluntary biospecimen collection. In fact there exist already parallel application procedures at NIH for bio-specimen collection as stand-apart from the main grant application which allows for investigators to potentially obtain funds for this purpose, without impacting </w:t>
      </w:r>
      <w:r w:rsidR="0038295A">
        <w:t>overall study protocol rating.</w:t>
      </w:r>
    </w:p>
    <w:p w:rsidR="00AA03FA" w:rsidRPr="00634A90" w:rsidRDefault="00AA03FA" w:rsidP="0038295A">
      <w:pPr>
        <w:spacing w:before="120" w:after="60"/>
      </w:pPr>
      <w:r w:rsidRPr="00634A90">
        <w:t>The</w:t>
      </w:r>
      <w:r>
        <w:t xml:space="preserve"> multiple sclerosis (MS)</w:t>
      </w:r>
      <w:r w:rsidRPr="00634A90">
        <w:t xml:space="preserve"> Subgroup raised the idea of mandating collection at the general meeting of all CDE subgroups and while generally favorably perceived, the concept also generated discussion around mo</w:t>
      </w:r>
      <w:r w:rsidR="00F87726">
        <w:t xml:space="preserve">st of the limitations discussed </w:t>
      </w:r>
      <w:r w:rsidRPr="00634A90">
        <w:t xml:space="preserve">above. Subsequent to that meeting, the </w:t>
      </w:r>
      <w:r>
        <w:t xml:space="preserve">MS </w:t>
      </w:r>
      <w:r w:rsidRPr="00634A90">
        <w:t>Subgroup received feedback from the NINDS on the concept of mandatory specimen collection. The NINDS agrees it is valuable to collect samples and store in a repository; however it must weigh the practical considerations of mandating this and would not be supportive of such a recommendation at this time. Rather NINDS preferred that the Subgroup focus its recommendations on standards for collection, shipping and storage of samples. Decisions regarding NINDS-funded sample collection will continue to be addressed by NIH on a case-by-case basis. The Subgroup agreed in the absence of funds it is not reasonable to mandate this sample collection, while highlighting that this approach may continue to allow the solubl</w:t>
      </w:r>
      <w:r>
        <w:t>e/cellular biomarker field in neuromuscular</w:t>
      </w:r>
      <w:r w:rsidRPr="00634A90">
        <w:t xml:space="preserve"> </w:t>
      </w:r>
      <w:r w:rsidR="006A58C1">
        <w:t xml:space="preserve">diseases </w:t>
      </w:r>
      <w:r w:rsidRPr="00634A90">
        <w:t>to languish.  It was suggested by the Subgroup that if a study did in fact receive NIH funding, any stored samples from that study should be made available to others in</w:t>
      </w:r>
      <w:r>
        <w:t xml:space="preserve"> the research</w:t>
      </w:r>
      <w:r w:rsidRPr="00634A90">
        <w:t xml:space="preserve"> community, assuming the request is based on a scientifically valid question, presumably requiring an adjudication/review </w:t>
      </w:r>
      <w:r w:rsidR="0038295A">
        <w:t>committee.</w:t>
      </w:r>
    </w:p>
    <w:p w:rsidR="00AA03FA" w:rsidRPr="0038295A" w:rsidRDefault="00AA03FA" w:rsidP="0038295A">
      <w:pPr>
        <w:numPr>
          <w:ilvl w:val="0"/>
          <w:numId w:val="4"/>
        </w:numPr>
        <w:jc w:val="both"/>
        <w:rPr>
          <w:rFonts w:ascii="Arial Narrow" w:hAnsi="Arial Narrow" w:cs="Arial"/>
        </w:rPr>
      </w:pPr>
      <w:r w:rsidRPr="0038295A">
        <w:rPr>
          <w:rFonts w:ascii="Arial Narrow" w:hAnsi="Arial Narrow" w:cs="Arial"/>
        </w:rPr>
        <w:t>What to collect, how to handle and what to analyze</w:t>
      </w:r>
    </w:p>
    <w:p w:rsidR="00AA03FA" w:rsidRPr="0038295A" w:rsidRDefault="00AA03FA" w:rsidP="0038295A">
      <w:pPr>
        <w:numPr>
          <w:ilvl w:val="1"/>
          <w:numId w:val="6"/>
        </w:numPr>
        <w:ind w:left="720"/>
        <w:jc w:val="both"/>
        <w:rPr>
          <w:rFonts w:ascii="Arial Narrow" w:hAnsi="Arial Narrow" w:cs="Arial"/>
        </w:rPr>
      </w:pPr>
      <w:r w:rsidRPr="0038295A">
        <w:rPr>
          <w:rFonts w:ascii="Arial Narrow" w:hAnsi="Arial Narrow" w:cs="Arial"/>
        </w:rPr>
        <w:t>Samples</w:t>
      </w:r>
    </w:p>
    <w:p w:rsidR="00AA03FA" w:rsidRPr="00634A90" w:rsidRDefault="00AA03FA" w:rsidP="0038295A">
      <w:pPr>
        <w:spacing w:before="120" w:after="60"/>
        <w:jc w:val="both"/>
        <w:rPr>
          <w:rFonts w:ascii="Arial Narrow" w:hAnsi="Arial Narrow" w:cs="Arial"/>
        </w:rPr>
      </w:pPr>
      <w:r w:rsidRPr="0038295A">
        <w:t xml:space="preserve">The MS subgroup noted that there are limited numbers of options of samples to collect including blood, other body fluids (CSF, urine), and tissues (biopsies, autopsy). It was felt that some of these are of greater utility than others and some pose greater logistical challenges. Therefore, the MS Subgroup ranked various samples on these two aspects to provide some guidance to </w:t>
      </w:r>
      <w:r w:rsidRPr="0038295A">
        <w:lastRenderedPageBreak/>
        <w:t>investigators wishing to include bio-specimen sampling in their study. The grading</w:t>
      </w:r>
      <w:r w:rsidRPr="00634A90">
        <w:rPr>
          <w:rFonts w:ascii="Arial Narrow" w:hAnsi="Arial Narrow" w:cs="Arial"/>
        </w:rPr>
        <w:t xml:space="preserve"> system, as </w:t>
      </w:r>
      <w:r w:rsidRPr="0038295A">
        <w:t>currently envisaged, was from 1 to 3, with 1 being most relevant on the utility scale and 1 being the easiest to perform/obtain on the feasibility scale. Based on these rankings, biospecimens could be grouped in 3 overall categories; (i) easy to obtain and highly relevant (serum, plasma, whole blood for RNA/DNA, FACS), (ii) harder to obtain but highly relevant (CSF, CSF cells) and (iii) hard to obtain or less relevant (autopsy material, biopsy specimens [muscle, nerve, skin, bone marrow etc.], urine). A listing of biospecimen samples that could be acquired in clinical studies is provided in Appendix A with a ranking on utility and feasibility. Clearly appropriate specific handling for samples (e.g. PBMC) will depend on the nature of biomarker studies being planned to determine if samples must be processed immediately, or frozen and shipped etc.</w:t>
      </w:r>
    </w:p>
    <w:p w:rsidR="00AA03FA" w:rsidRPr="00634A90" w:rsidRDefault="00AA03FA" w:rsidP="0038295A">
      <w:pPr>
        <w:spacing w:before="120" w:after="60"/>
      </w:pPr>
      <w:r w:rsidRPr="00634A90">
        <w:t xml:space="preserve">The </w:t>
      </w:r>
      <w:r>
        <w:t xml:space="preserve">MS </w:t>
      </w:r>
      <w:r w:rsidRPr="00634A90">
        <w:t xml:space="preserve">Subgroup discussed whether coding and data management is within its purview.  Coding of this material is very complicated.  The TBI and Stroke groups have provided basic high-level guidance on how the data should be documented. To properly approach this key topic would require agreement on core elements to collect and then agreement on a universal coding system, presumably driven by those maintaining a central repository. This larger effort could be subsequently implemented by individuals collecting samples even if not part of a collaborative group to ensure uniformity should such samples later become more generally available. This effort is beyond the scope of the Subgroup. </w:t>
      </w:r>
    </w:p>
    <w:p w:rsidR="00AA03FA" w:rsidRDefault="00AA03FA" w:rsidP="0038295A">
      <w:pPr>
        <w:spacing w:before="120" w:after="60"/>
      </w:pPr>
      <w:r w:rsidRPr="00634A90">
        <w:t xml:space="preserve">The </w:t>
      </w:r>
      <w:r>
        <w:t xml:space="preserve">MS </w:t>
      </w:r>
      <w:r w:rsidRPr="00634A90">
        <w:t xml:space="preserve">Subgroup discussed the importance of collecting associated phenotype data (e.g. demographics, disease measures, MRI data) for each bio-specimen collected. The clinical and para-clinical elements to collect will be aligned with the CDEs proposed by the relevant sub-groups. Demographic data should include age, gender, race while the samples themselves should have recorded key collection information (e.g. date, time, amount collected, number of aliquots, volume per aliquot, storage location, ID number).  The </w:t>
      </w:r>
      <w:r>
        <w:t>MS Subgroup felt</w:t>
      </w:r>
      <w:r w:rsidRPr="00634A90">
        <w:t xml:space="preserve"> strongly that without a well-documented clinical/demographic dataset linked to the specimens, the effort will lose much of its potential.</w:t>
      </w:r>
    </w:p>
    <w:p w:rsidR="00AA03FA" w:rsidRPr="00634A90" w:rsidRDefault="006A58C1" w:rsidP="0038295A">
      <w:pPr>
        <w:spacing w:before="120" w:after="60"/>
      </w:pPr>
      <w:r>
        <w:t>The</w:t>
      </w:r>
      <w:r w:rsidR="00AA03FA">
        <w:t xml:space="preserve"> Neuromuscular </w:t>
      </w:r>
      <w:r>
        <w:t xml:space="preserve">diseases </w:t>
      </w:r>
      <w:r w:rsidR="00AA03FA">
        <w:t>Subgroup concurs with all these careful and well thought-out deliberations of the MS Subgroup, and as stated above, is largely transcribing their report from the MS Subgroup report.</w:t>
      </w:r>
    </w:p>
    <w:p w:rsidR="00217A4A" w:rsidRPr="0038295A" w:rsidRDefault="00217A4A" w:rsidP="00846308">
      <w:pPr>
        <w:spacing w:line="240" w:lineRule="auto"/>
        <w:rPr>
          <w:rFonts w:ascii="Arial Narrow" w:hAnsi="Arial Narrow" w:cs="Calibri"/>
        </w:rPr>
      </w:pPr>
      <w:r w:rsidRPr="0038295A">
        <w:rPr>
          <w:rFonts w:ascii="Arial Narrow" w:hAnsi="Arial Narrow" w:cs="Calibri"/>
        </w:rPr>
        <w:t xml:space="preserve">b) </w:t>
      </w:r>
      <w:r w:rsidR="00E12A26" w:rsidRPr="0038295A">
        <w:rPr>
          <w:rFonts w:ascii="Arial Narrow" w:hAnsi="Arial Narrow" w:cs="Calibri"/>
        </w:rPr>
        <w:t>Biomarkers</w:t>
      </w:r>
    </w:p>
    <w:p w:rsidR="00C37D43" w:rsidRPr="006A58C1" w:rsidRDefault="006A58C1" w:rsidP="0038295A">
      <w:r w:rsidRPr="006A58C1">
        <w:t>N</w:t>
      </w:r>
      <w:r w:rsidR="00C37D43" w:rsidRPr="006A58C1">
        <w:t>euromuscular</w:t>
      </w:r>
      <w:r w:rsidRPr="006A58C1">
        <w:t xml:space="preserve"> diseases</w:t>
      </w:r>
      <w:r w:rsidR="00C37D43" w:rsidRPr="006A58C1">
        <w:t xml:space="preserve"> is a highly heterogeneous and broad category of disorders, encompassing hundreds of genetically defined and acquired disorders.   The broadest categories are myopathies (disorders of muscle) and neuropathies (disorders of nerve), and certain biomarkers can be utilized within these groups.  For example, in the myopathies, serum phosphocreatine kinase activity levels (CPK) are generally reflective of ongoing muscle damage, and can be used as a surrogate biochemical marker for clinical studies in specific subtypes, such as Duchenne muscular dystrophy.   In the neuropathies, many are acquired inflammatory disorders, and standard serum inflammatory markers may be used.</w:t>
      </w:r>
    </w:p>
    <w:p w:rsidR="008E684C" w:rsidRPr="006A58C1" w:rsidRDefault="008E684C" w:rsidP="0038295A"/>
    <w:p w:rsidR="008E684C" w:rsidRPr="006A58C1" w:rsidRDefault="00875A23" w:rsidP="0038295A">
      <w:r w:rsidRPr="006A58C1">
        <w:t xml:space="preserve">In the Neuromuscular </w:t>
      </w:r>
      <w:r w:rsidR="006A58C1" w:rsidRPr="006A58C1">
        <w:t xml:space="preserve">diseases </w:t>
      </w:r>
      <w:r w:rsidRPr="006A58C1">
        <w:t xml:space="preserve">group of disorders, many are single gene (monogenic) inherited disorders, and the primary gene product can be a target of therapeutics (e.g. gene therapy).  As </w:t>
      </w:r>
      <w:r w:rsidRPr="006A58C1">
        <w:lastRenderedPageBreak/>
        <w:t xml:space="preserve">such, detection of gene replacement at the gene, mRNA, or protein level in the target tissue (muscle or nerve) becomes an important if not critical biomarker.  Regulatory organizations, such as the FDA and EMA, look towards collaborative groups to define standard operating </w:t>
      </w:r>
      <w:r w:rsidRPr="0038295A">
        <w:t xml:space="preserve">procedures (SOPs) for methods of detection of such biomarkers.  The Duchenne muscular dystrophy research community has established an “International Working Group on Biochemical Outcome Measures” to study best practices in detection of dystrophin as a biochemical outcome measure (see </w:t>
      </w:r>
      <w:hyperlink r:id="rId7" w:history="1">
        <w:r w:rsidRPr="0038295A">
          <w:t>http://www.treat-nmd.eu/downloads/file/newsletter/archive/2010/treat-nmd_newsletter_no87.pdf</w:t>
        </w:r>
      </w:hyperlink>
      <w:r w:rsidRPr="0038295A">
        <w:t xml:space="preserve">).  The Neuromuscular </w:t>
      </w:r>
      <w:r w:rsidR="006A58C1" w:rsidRPr="0038295A">
        <w:t xml:space="preserve">Diseases </w:t>
      </w:r>
      <w:r w:rsidRPr="0038295A">
        <w:t>Subgroup encourages similar disease-focused groups to develop similar consensus building efforts towards SOPs.</w:t>
      </w:r>
    </w:p>
    <w:p w:rsidR="00C37D43" w:rsidRDefault="00C37D43" w:rsidP="00846308">
      <w:pPr>
        <w:spacing w:after="0" w:line="240" w:lineRule="auto"/>
        <w:rPr>
          <w:rFonts w:cs="Calibri"/>
        </w:rPr>
      </w:pPr>
    </w:p>
    <w:p w:rsidR="00EC6594" w:rsidRPr="006A58C1" w:rsidRDefault="00C37D43" w:rsidP="0038295A">
      <w:r w:rsidRPr="006A58C1">
        <w:t>As with the MS</w:t>
      </w:r>
      <w:r w:rsidR="00217A4A" w:rsidRPr="006A58C1">
        <w:t xml:space="preserve"> Subgroup</w:t>
      </w:r>
      <w:r w:rsidRPr="006A58C1">
        <w:t xml:space="preserve">, the Neuromuscular </w:t>
      </w:r>
      <w:r w:rsidR="006A58C1" w:rsidRPr="006A58C1">
        <w:t xml:space="preserve"> diseases </w:t>
      </w:r>
      <w:r w:rsidRPr="006A58C1">
        <w:t>Subgroup</w:t>
      </w:r>
      <w:r w:rsidR="00217A4A" w:rsidRPr="006A58C1">
        <w:t xml:space="preserve"> discussed providing a list of those biomarkers being considered.  There are currently </w:t>
      </w:r>
      <w:r w:rsidR="00A7121A" w:rsidRPr="006A58C1">
        <w:t xml:space="preserve">no </w:t>
      </w:r>
      <w:r w:rsidR="00217A4A" w:rsidRPr="006A58C1">
        <w:t xml:space="preserve">biomarkers </w:t>
      </w:r>
      <w:r w:rsidR="005A55A9" w:rsidRPr="006A58C1">
        <w:t>that are conside</w:t>
      </w:r>
      <w:r w:rsidRPr="006A58C1">
        <w:t>red sufficiently validated in Neuromuscular</w:t>
      </w:r>
      <w:r w:rsidR="005A55A9" w:rsidRPr="006A58C1">
        <w:t xml:space="preserve"> </w:t>
      </w:r>
      <w:r w:rsidR="006A58C1">
        <w:t xml:space="preserve">diseases </w:t>
      </w:r>
      <w:r w:rsidR="005A55A9" w:rsidRPr="006A58C1">
        <w:t>to be considered as Core Data Elements. T</w:t>
      </w:r>
      <w:r w:rsidR="00217A4A" w:rsidRPr="006A58C1">
        <w:t xml:space="preserve">he Subgroup discussed that if they recommend any biomarkers they would likely be classified as </w:t>
      </w:r>
      <w:r w:rsidR="001B11ED" w:rsidRPr="006A58C1">
        <w:t>e</w:t>
      </w:r>
      <w:r w:rsidR="00217A4A" w:rsidRPr="006A58C1">
        <w:t>xploratory considering that the biomarkers change quite frequently.</w:t>
      </w:r>
      <w:r w:rsidR="001B11ED" w:rsidRPr="006A58C1">
        <w:t xml:space="preserve"> </w:t>
      </w:r>
    </w:p>
    <w:p w:rsidR="00C37D43" w:rsidRPr="006A58C1" w:rsidRDefault="00C37D43" w:rsidP="0038295A"/>
    <w:p w:rsidR="00EC6594" w:rsidRPr="006A58C1" w:rsidRDefault="00C37D43" w:rsidP="0038295A">
      <w:r w:rsidRPr="006A58C1">
        <w:t>The MS Subgroup noted that i</w:t>
      </w:r>
      <w:r w:rsidR="00EC6594" w:rsidRPr="006A58C1">
        <w:t xml:space="preserve">nvestigators </w:t>
      </w:r>
      <w:r w:rsidRPr="006A58C1">
        <w:t>should be</w:t>
      </w:r>
      <w:r w:rsidR="00EC6594" w:rsidRPr="006A58C1">
        <w:t xml:space="preserve"> encourage</w:t>
      </w:r>
      <w:r w:rsidR="00A7121A" w:rsidRPr="006A58C1">
        <w:t>d</w:t>
      </w:r>
      <w:r w:rsidR="00EC6594" w:rsidRPr="006A58C1">
        <w:t xml:space="preserve"> to investigate available bio-specimen facilities, both for logistics of obtaining, processing, and storing samples as well as methodological aspects of testing</w:t>
      </w:r>
      <w:r w:rsidR="00C166D7" w:rsidRPr="006A58C1">
        <w:t>. This information</w:t>
      </w:r>
      <w:r w:rsidR="00EC6594" w:rsidRPr="006A58C1">
        <w:t xml:space="preserve"> can be obtained at the respective websites of the bio-repositories listed</w:t>
      </w:r>
      <w:r w:rsidR="00F87726">
        <w:t xml:space="preserve"> below</w:t>
      </w:r>
      <w:r w:rsidR="00EC6594" w:rsidRPr="006A58C1">
        <w:t xml:space="preserve">. </w:t>
      </w:r>
      <w:r w:rsidR="00610CB2" w:rsidRPr="006A58C1">
        <w:t>P</w:t>
      </w:r>
      <w:r w:rsidR="00EC6594" w:rsidRPr="006A58C1">
        <w:t>ublished review</w:t>
      </w:r>
      <w:r w:rsidR="00610CB2" w:rsidRPr="006A58C1">
        <w:t>s</w:t>
      </w:r>
      <w:r w:rsidR="00EC6594" w:rsidRPr="006A58C1">
        <w:t xml:space="preserve"> on this topic related to CSF sample handling </w:t>
      </w:r>
      <w:r w:rsidR="00227933" w:rsidRPr="006A58C1">
        <w:t>have been developed by BioMS</w:t>
      </w:r>
      <w:r w:rsidR="00227933" w:rsidRPr="006A58C1">
        <w:rPr>
          <w:i/>
        </w:rPr>
        <w:t>eu</w:t>
      </w:r>
      <w:r w:rsidR="00227933" w:rsidRPr="006A58C1">
        <w:t xml:space="preserve"> (</w:t>
      </w:r>
      <w:hyperlink r:id="rId8" w:history="1">
        <w:r w:rsidR="00227933" w:rsidRPr="006A58C1">
          <w:rPr>
            <w:rStyle w:val="Hyperlink"/>
            <w:rFonts w:ascii="Arial Narrow" w:hAnsi="Arial Narrow" w:cs="Calibri"/>
          </w:rPr>
          <w:t>http://www.bioms.eu/index.php</w:t>
        </w:r>
      </w:hyperlink>
      <w:r w:rsidR="00227933" w:rsidRPr="006A58C1">
        <w:t>) and are</w:t>
      </w:r>
      <w:r w:rsidR="00EC6594" w:rsidRPr="006A58C1">
        <w:t xml:space="preserve"> available</w:t>
      </w:r>
      <w:r w:rsidR="00227933" w:rsidRPr="006A58C1">
        <w:t xml:space="preserve"> in published articles</w:t>
      </w:r>
      <w:r w:rsidR="00EC6594" w:rsidRPr="006A58C1">
        <w:t xml:space="preserve"> (</w:t>
      </w:r>
      <w:r w:rsidR="00EC6594" w:rsidRPr="006A58C1">
        <w:rPr>
          <w:rFonts w:eastAsia="Times New Roman"/>
          <w:color w:val="000000"/>
        </w:rPr>
        <w:t xml:space="preserve">Teunissen </w:t>
      </w:r>
      <w:r w:rsidR="00610CB2" w:rsidRPr="006A58C1">
        <w:rPr>
          <w:rFonts w:eastAsia="Times New Roman"/>
          <w:color w:val="000000"/>
        </w:rPr>
        <w:t xml:space="preserve">CE </w:t>
      </w:r>
      <w:r w:rsidR="00EC6594" w:rsidRPr="006A58C1">
        <w:rPr>
          <w:rFonts w:eastAsia="Times New Roman"/>
          <w:color w:val="000000"/>
        </w:rPr>
        <w:t>et al, Neurol 2009, 73:1914-1922</w:t>
      </w:r>
      <w:r w:rsidR="00610CB2" w:rsidRPr="006A58C1">
        <w:rPr>
          <w:rFonts w:eastAsia="Times New Roman"/>
          <w:color w:val="000000"/>
        </w:rPr>
        <w:t>; Teunissen CE et al, MS International 2011, doi:10.1155/2011/246412</w:t>
      </w:r>
      <w:r w:rsidR="00226377" w:rsidRPr="006A58C1">
        <w:rPr>
          <w:rFonts w:eastAsia="Times New Roman"/>
          <w:color w:val="000000"/>
        </w:rPr>
        <w:t>; Tumani H et al, Neurobiology of Disease 2009, 35:117-127</w:t>
      </w:r>
      <w:r w:rsidR="00EC6594" w:rsidRPr="006A58C1">
        <w:rPr>
          <w:rFonts w:eastAsia="Times New Roman"/>
          <w:color w:val="000000"/>
        </w:rPr>
        <w:t>)</w:t>
      </w:r>
      <w:r w:rsidR="00EC6594" w:rsidRPr="006A58C1">
        <w:t>.</w:t>
      </w:r>
    </w:p>
    <w:p w:rsidR="00C166D7" w:rsidRPr="006A58C1" w:rsidRDefault="00C166D7" w:rsidP="0038295A"/>
    <w:p w:rsidR="00217A4A" w:rsidRPr="0038295A" w:rsidRDefault="00C166D7" w:rsidP="0038295A">
      <w:r w:rsidRPr="006A58C1">
        <w:t xml:space="preserve">Over time, greater emphasis may be placed on specific biomarkers for disease course/prognosis as well as </w:t>
      </w:r>
      <w:r w:rsidR="00C37D43" w:rsidRPr="006A58C1">
        <w:t>treatment-response biomarkers</w:t>
      </w:r>
      <w:r w:rsidR="0038295A">
        <w:t>.</w:t>
      </w:r>
    </w:p>
    <w:p w:rsidR="00E12A26" w:rsidRPr="006A58C1" w:rsidRDefault="00217A4A" w:rsidP="00846308">
      <w:pPr>
        <w:spacing w:line="240" w:lineRule="auto"/>
        <w:rPr>
          <w:rFonts w:ascii="Arial Narrow" w:hAnsi="Arial Narrow" w:cs="Calibri"/>
          <w:b/>
        </w:rPr>
      </w:pPr>
      <w:r w:rsidRPr="006A58C1">
        <w:rPr>
          <w:rFonts w:ascii="Arial Narrow" w:hAnsi="Arial Narrow" w:cs="Calibri"/>
          <w:b/>
        </w:rPr>
        <w:t>4</w:t>
      </w:r>
      <w:r w:rsidR="00E12A26" w:rsidRPr="006A58C1">
        <w:rPr>
          <w:rFonts w:ascii="Arial Narrow" w:hAnsi="Arial Narrow" w:cs="Calibri"/>
          <w:b/>
        </w:rPr>
        <w:t>) Examples of Bio</w:t>
      </w:r>
      <w:r w:rsidR="005249D9" w:rsidRPr="006A58C1">
        <w:rPr>
          <w:rFonts w:ascii="Arial Narrow" w:hAnsi="Arial Narrow" w:cs="Calibri"/>
          <w:b/>
        </w:rPr>
        <w:t>-</w:t>
      </w:r>
      <w:r w:rsidR="00E12A26" w:rsidRPr="006A58C1">
        <w:rPr>
          <w:rFonts w:ascii="Arial Narrow" w:hAnsi="Arial Narrow" w:cs="Calibri"/>
          <w:b/>
        </w:rPr>
        <w:t>specimen Repositories</w:t>
      </w:r>
    </w:p>
    <w:p w:rsidR="002A2B11" w:rsidRPr="006A58C1" w:rsidRDefault="00B47A64" w:rsidP="006A58C1">
      <w:pPr>
        <w:spacing w:after="0"/>
        <w:rPr>
          <w:rFonts w:ascii="Arial Narrow" w:hAnsi="Arial Narrow" w:cs="Calibri"/>
        </w:rPr>
      </w:pPr>
      <w:r w:rsidRPr="006A58C1">
        <w:rPr>
          <w:rFonts w:ascii="Arial Narrow" w:hAnsi="Arial Narrow" w:cs="Calibri"/>
        </w:rPr>
        <w:t>Several examples of existing bio</w:t>
      </w:r>
      <w:r w:rsidR="00B9409F" w:rsidRPr="006A58C1">
        <w:rPr>
          <w:rFonts w:ascii="Arial Narrow" w:hAnsi="Arial Narrow" w:cs="Calibri"/>
        </w:rPr>
        <w:t>-</w:t>
      </w:r>
      <w:r w:rsidRPr="006A58C1">
        <w:rPr>
          <w:rFonts w:ascii="Arial Narrow" w:hAnsi="Arial Narrow" w:cs="Calibri"/>
        </w:rPr>
        <w:t xml:space="preserve">specimen repositories exist. Among these are the NIH Coriell Institute, Immune Tolerance Network, BioMS (CombiRx Study), National Database for Autism Research (NDAR; </w:t>
      </w:r>
      <w:hyperlink r:id="rId9" w:history="1">
        <w:r w:rsidRPr="006A58C1">
          <w:rPr>
            <w:rStyle w:val="Hyperlink"/>
            <w:rFonts w:ascii="Arial Narrow" w:hAnsi="Arial Narrow" w:cs="Calibri"/>
          </w:rPr>
          <w:t>http://ndar.nih.gov/</w:t>
        </w:r>
      </w:hyperlink>
      <w:r w:rsidRPr="006A58C1">
        <w:rPr>
          <w:rFonts w:ascii="Arial Narrow" w:hAnsi="Arial Narrow" w:cs="Calibri"/>
        </w:rPr>
        <w:t xml:space="preserve">), </w:t>
      </w:r>
      <w:r w:rsidRPr="006A58C1">
        <w:rPr>
          <w:rFonts w:ascii="Arial Narrow" w:hAnsi="Arial Narrow" w:cs="Calibri"/>
          <w:color w:val="000000"/>
        </w:rPr>
        <w:t>Alzheimer's Disease Neuroimaging Initiative (</w:t>
      </w:r>
      <w:r w:rsidRPr="006A58C1">
        <w:rPr>
          <w:rFonts w:ascii="Arial Narrow" w:hAnsi="Arial Narrow" w:cs="Calibri"/>
        </w:rPr>
        <w:t xml:space="preserve">ADNI) </w:t>
      </w:r>
      <w:r w:rsidR="001E0806" w:rsidRPr="006A58C1">
        <w:rPr>
          <w:rFonts w:ascii="Arial Narrow" w:hAnsi="Arial Narrow" w:cs="Calibri"/>
        </w:rPr>
        <w:t>as well as Kompetenznetz-mu</w:t>
      </w:r>
      <w:r w:rsidR="001058CA" w:rsidRPr="006A58C1">
        <w:rPr>
          <w:rFonts w:ascii="Arial Narrow" w:hAnsi="Arial Narrow" w:cs="Calibri"/>
        </w:rPr>
        <w:t>l</w:t>
      </w:r>
      <w:r w:rsidR="001E0806" w:rsidRPr="006A58C1">
        <w:rPr>
          <w:rFonts w:ascii="Arial Narrow" w:hAnsi="Arial Narrow" w:cs="Calibri"/>
        </w:rPr>
        <w:t>tiplesklerose</w:t>
      </w:r>
      <w:r w:rsidRPr="006A58C1">
        <w:rPr>
          <w:rFonts w:ascii="Arial Narrow" w:hAnsi="Arial Narrow" w:cs="Calibri"/>
        </w:rPr>
        <w:t xml:space="preserve"> </w:t>
      </w:r>
      <w:r w:rsidR="001E0806" w:rsidRPr="006A58C1">
        <w:rPr>
          <w:rFonts w:ascii="Arial Narrow" w:hAnsi="Arial Narrow" w:cs="Calibri"/>
        </w:rPr>
        <w:t>(</w:t>
      </w:r>
      <w:hyperlink r:id="rId10" w:history="1">
        <w:r w:rsidR="00CB1370" w:rsidRPr="006A58C1">
          <w:rPr>
            <w:rStyle w:val="Hyperlink"/>
            <w:rFonts w:ascii="Arial Narrow" w:hAnsi="Arial Narrow" w:cs="Calibri"/>
          </w:rPr>
          <w:t>http://www.kompetenznetz-multiplesklerose.de/en</w:t>
        </w:r>
      </w:hyperlink>
      <w:r w:rsidR="001E0806" w:rsidRPr="006A58C1">
        <w:rPr>
          <w:rFonts w:ascii="Arial Narrow" w:hAnsi="Arial Narrow" w:cs="Calibri"/>
        </w:rPr>
        <w:t xml:space="preserve">) </w:t>
      </w:r>
      <w:r w:rsidRPr="006A58C1">
        <w:rPr>
          <w:rFonts w:ascii="Arial Narrow" w:hAnsi="Arial Narrow" w:cs="Calibri"/>
        </w:rPr>
        <w:t xml:space="preserve">as an </w:t>
      </w:r>
      <w:r w:rsidR="001E0806" w:rsidRPr="006A58C1">
        <w:rPr>
          <w:rFonts w:ascii="Arial Narrow" w:hAnsi="Arial Narrow" w:cs="Calibri"/>
        </w:rPr>
        <w:t xml:space="preserve">MS-specific </w:t>
      </w:r>
      <w:r w:rsidRPr="006A58C1">
        <w:rPr>
          <w:rFonts w:ascii="Arial Narrow" w:hAnsi="Arial Narrow" w:cs="Calibri"/>
        </w:rPr>
        <w:t>example in Europe</w:t>
      </w:r>
      <w:r w:rsidR="002A2B11" w:rsidRPr="006A58C1">
        <w:rPr>
          <w:rFonts w:ascii="Arial Narrow" w:hAnsi="Arial Narrow" w:cs="Calibri"/>
        </w:rPr>
        <w:t>.</w:t>
      </w:r>
      <w:r w:rsidR="00B9409F" w:rsidRPr="006A58C1">
        <w:rPr>
          <w:rFonts w:ascii="Arial Narrow" w:hAnsi="Arial Narrow" w:cs="Calibri"/>
        </w:rPr>
        <w:t xml:space="preserve"> </w:t>
      </w:r>
      <w:r w:rsidR="00CB1370" w:rsidRPr="006A58C1">
        <w:rPr>
          <w:rFonts w:ascii="Arial Narrow" w:hAnsi="Arial Narrow" w:cs="Calibri"/>
        </w:rPr>
        <w:t xml:space="preserve"> </w:t>
      </w:r>
      <w:r w:rsidR="00B9409F" w:rsidRPr="006A58C1">
        <w:rPr>
          <w:rFonts w:ascii="Arial Narrow" w:hAnsi="Arial Narrow" w:cs="Calibri"/>
        </w:rPr>
        <w:t>As is common in many endeavours, the oncology field is often ahead of others and an extensive amount of information on bio</w:t>
      </w:r>
      <w:r w:rsidR="001058CA" w:rsidRPr="006A58C1">
        <w:rPr>
          <w:rFonts w:ascii="Arial Narrow" w:hAnsi="Arial Narrow" w:cs="Calibri"/>
        </w:rPr>
        <w:t>-</w:t>
      </w:r>
      <w:r w:rsidR="00B9409F" w:rsidRPr="006A58C1">
        <w:rPr>
          <w:rFonts w:ascii="Arial Narrow" w:hAnsi="Arial Narrow" w:cs="Calibri"/>
        </w:rPr>
        <w:t>specimens is available via the NCI including a bio</w:t>
      </w:r>
      <w:r w:rsidR="001058CA" w:rsidRPr="006A58C1">
        <w:rPr>
          <w:rFonts w:ascii="Arial Narrow" w:hAnsi="Arial Narrow" w:cs="Calibri"/>
        </w:rPr>
        <w:t>-</w:t>
      </w:r>
      <w:r w:rsidR="00B9409F" w:rsidRPr="006A58C1">
        <w:rPr>
          <w:rFonts w:ascii="Arial Narrow" w:hAnsi="Arial Narrow" w:cs="Calibri"/>
        </w:rPr>
        <w:t>specimen research database (</w:t>
      </w:r>
      <w:hyperlink r:id="rId11" w:history="1">
        <w:r w:rsidR="00B9409F" w:rsidRPr="006A58C1">
          <w:rPr>
            <w:rStyle w:val="Hyperlink"/>
            <w:rFonts w:ascii="Arial Narrow" w:hAnsi="Arial Narrow" w:cs="Calibri"/>
          </w:rPr>
          <w:t>https://brd.nci.nih.gov/BRN/brnHome.seam</w:t>
        </w:r>
      </w:hyperlink>
      <w:r w:rsidR="00B9409F" w:rsidRPr="006A58C1">
        <w:rPr>
          <w:rFonts w:ascii="Arial Narrow" w:hAnsi="Arial Narrow" w:cs="Calibri"/>
        </w:rPr>
        <w:t xml:space="preserve">) and </w:t>
      </w:r>
      <w:r w:rsidR="0015457A" w:rsidRPr="006A58C1">
        <w:rPr>
          <w:rFonts w:ascii="Arial Narrow" w:hAnsi="Arial Narrow" w:cs="Calibri"/>
        </w:rPr>
        <w:t xml:space="preserve">a </w:t>
      </w:r>
      <w:r w:rsidR="00B9409F" w:rsidRPr="006A58C1">
        <w:rPr>
          <w:rFonts w:ascii="Arial Narrow" w:hAnsi="Arial Narrow" w:cs="Calibri"/>
        </w:rPr>
        <w:t>best practice</w:t>
      </w:r>
      <w:r w:rsidR="0015457A" w:rsidRPr="006A58C1">
        <w:rPr>
          <w:rFonts w:ascii="Arial Narrow" w:hAnsi="Arial Narrow" w:cs="Calibri"/>
        </w:rPr>
        <w:t>s</w:t>
      </w:r>
      <w:r w:rsidR="00B9409F" w:rsidRPr="006A58C1">
        <w:rPr>
          <w:rFonts w:ascii="Arial Narrow" w:hAnsi="Arial Narrow" w:cs="Calibri"/>
        </w:rPr>
        <w:t xml:space="preserve"> document (</w:t>
      </w:r>
      <w:hyperlink r:id="rId12" w:history="1">
        <w:r w:rsidR="00CB1370" w:rsidRPr="006A58C1">
          <w:rPr>
            <w:rStyle w:val="Hyperlink"/>
            <w:rFonts w:ascii="Arial Narrow" w:hAnsi="Arial Narrow" w:cs="Calibri"/>
          </w:rPr>
          <w:t>http://biospecimens.cancer.gov/global/pdfs/NCI_Best_Practices_060507.pdf</w:t>
        </w:r>
      </w:hyperlink>
      <w:r w:rsidR="00B9409F" w:rsidRPr="006A58C1">
        <w:rPr>
          <w:rFonts w:ascii="Arial Narrow" w:hAnsi="Arial Narrow" w:cs="Calibri"/>
        </w:rPr>
        <w:t>).</w:t>
      </w:r>
    </w:p>
    <w:p w:rsidR="002A2B11" w:rsidRPr="006A58C1" w:rsidRDefault="002A2B11" w:rsidP="006A58C1">
      <w:pPr>
        <w:spacing w:after="0"/>
        <w:rPr>
          <w:rFonts w:ascii="Arial Narrow" w:hAnsi="Arial Narrow" w:cs="Calibri"/>
        </w:rPr>
      </w:pPr>
    </w:p>
    <w:p w:rsidR="00D272CC" w:rsidRPr="006A58C1" w:rsidRDefault="00D272CC" w:rsidP="006A58C1">
      <w:pPr>
        <w:spacing w:after="0"/>
        <w:rPr>
          <w:rFonts w:ascii="Arial Narrow" w:hAnsi="Arial Narrow" w:cs="Calibri"/>
        </w:rPr>
      </w:pPr>
      <w:r w:rsidRPr="006A58C1">
        <w:rPr>
          <w:rFonts w:ascii="Arial Narrow" w:hAnsi="Arial Narrow" w:cs="Calibri"/>
        </w:rPr>
        <w:t>The NINDS has a bio-repository at the Coriell Institute (</w:t>
      </w:r>
      <w:hyperlink r:id="rId13" w:history="1">
        <w:r w:rsidRPr="006A58C1">
          <w:rPr>
            <w:rStyle w:val="Hyperlink"/>
            <w:rFonts w:ascii="Arial Narrow" w:hAnsi="Arial Narrow" w:cs="Calibri"/>
          </w:rPr>
          <w:t>http://www.coriell.org/</w:t>
        </w:r>
      </w:hyperlink>
      <w:r w:rsidRPr="006A58C1">
        <w:rPr>
          <w:rFonts w:ascii="Arial Narrow" w:hAnsi="Arial Narrow" w:cs="Calibri"/>
        </w:rPr>
        <w:t>).  Coriell stores specimens along with clinical phenotype data and disperses the samples upon request for a fee.</w:t>
      </w:r>
      <w:r w:rsidR="0015457A" w:rsidRPr="006A58C1">
        <w:rPr>
          <w:rFonts w:ascii="Arial Narrow" w:hAnsi="Arial Narrow" w:cs="Calibri"/>
        </w:rPr>
        <w:t xml:space="preserve"> For individuals or groups wishing to bio</w:t>
      </w:r>
      <w:r w:rsidR="001058CA" w:rsidRPr="006A58C1">
        <w:rPr>
          <w:rFonts w:ascii="Arial Narrow" w:hAnsi="Arial Narrow" w:cs="Calibri"/>
        </w:rPr>
        <w:t>-</w:t>
      </w:r>
      <w:r w:rsidR="0015457A" w:rsidRPr="006A58C1">
        <w:rPr>
          <w:rFonts w:ascii="Arial Narrow" w:hAnsi="Arial Narrow" w:cs="Calibri"/>
        </w:rPr>
        <w:t>bank DNA, one needs to apply to the institute and</w:t>
      </w:r>
      <w:r w:rsidR="00217D0D" w:rsidRPr="006A58C1">
        <w:rPr>
          <w:rFonts w:ascii="Arial Narrow" w:hAnsi="Arial Narrow" w:cs="Calibri"/>
        </w:rPr>
        <w:t>,</w:t>
      </w:r>
      <w:r w:rsidR="0015457A" w:rsidRPr="006A58C1">
        <w:rPr>
          <w:rFonts w:ascii="Arial Narrow" w:hAnsi="Arial Narrow" w:cs="Calibri"/>
        </w:rPr>
        <w:t xml:space="preserve"> if approved</w:t>
      </w:r>
      <w:r w:rsidR="00217D0D" w:rsidRPr="006A58C1">
        <w:rPr>
          <w:rFonts w:ascii="Arial Narrow" w:hAnsi="Arial Narrow" w:cs="Calibri"/>
        </w:rPr>
        <w:t>,</w:t>
      </w:r>
      <w:r w:rsidR="0015457A" w:rsidRPr="006A58C1">
        <w:rPr>
          <w:rFonts w:ascii="Arial Narrow" w:hAnsi="Arial Narrow" w:cs="Calibri"/>
        </w:rPr>
        <w:t xml:space="preserve"> support is provided to investigators to ease the process.</w:t>
      </w:r>
      <w:r w:rsidRPr="006A58C1">
        <w:rPr>
          <w:rFonts w:ascii="Arial Narrow" w:hAnsi="Arial Narrow" w:cs="Calibri"/>
        </w:rPr>
        <w:t xml:space="preserve">  </w:t>
      </w:r>
    </w:p>
    <w:p w:rsidR="00B47A64" w:rsidRPr="006A58C1" w:rsidRDefault="00B47A64" w:rsidP="006A58C1">
      <w:pPr>
        <w:spacing w:after="0"/>
        <w:rPr>
          <w:rFonts w:ascii="Arial Narrow" w:hAnsi="Arial Narrow" w:cs="Calibri"/>
        </w:rPr>
      </w:pPr>
    </w:p>
    <w:p w:rsidR="00896121" w:rsidRPr="006A58C1" w:rsidRDefault="002A2B11" w:rsidP="006A58C1">
      <w:pPr>
        <w:spacing w:after="0"/>
        <w:rPr>
          <w:rFonts w:ascii="Arial Narrow" w:hAnsi="Arial Narrow" w:cs="Calibri"/>
        </w:rPr>
      </w:pPr>
      <w:r w:rsidRPr="006A58C1">
        <w:rPr>
          <w:rFonts w:ascii="Arial Narrow" w:hAnsi="Arial Narrow" w:cs="Calibri"/>
        </w:rPr>
        <w:t>T</w:t>
      </w:r>
      <w:r w:rsidR="00217A4A" w:rsidRPr="006A58C1">
        <w:rPr>
          <w:rFonts w:ascii="Arial Narrow" w:hAnsi="Arial Narrow" w:cs="Calibri"/>
        </w:rPr>
        <w:t xml:space="preserve">he Immune Tolerance Network (ITN) </w:t>
      </w:r>
      <w:r w:rsidR="00772BCF" w:rsidRPr="006A58C1">
        <w:rPr>
          <w:rFonts w:ascii="Arial Narrow" w:hAnsi="Arial Narrow" w:cs="Calibri"/>
        </w:rPr>
        <w:t xml:space="preserve">also </w:t>
      </w:r>
      <w:r w:rsidRPr="006A58C1">
        <w:rPr>
          <w:rFonts w:ascii="Arial Narrow" w:hAnsi="Arial Narrow" w:cs="Calibri"/>
        </w:rPr>
        <w:t>ha</w:t>
      </w:r>
      <w:r w:rsidR="00BA7B6E" w:rsidRPr="006A58C1">
        <w:rPr>
          <w:rFonts w:ascii="Arial Narrow" w:hAnsi="Arial Narrow" w:cs="Calibri"/>
        </w:rPr>
        <w:t>s</w:t>
      </w:r>
      <w:r w:rsidRPr="006A58C1">
        <w:rPr>
          <w:rFonts w:ascii="Arial Narrow" w:hAnsi="Arial Narrow" w:cs="Calibri"/>
        </w:rPr>
        <w:t xml:space="preserve"> </w:t>
      </w:r>
      <w:r w:rsidR="00217A4A" w:rsidRPr="006A58C1">
        <w:rPr>
          <w:rFonts w:ascii="Arial Narrow" w:hAnsi="Arial Narrow" w:cs="Calibri"/>
        </w:rPr>
        <w:t xml:space="preserve">protocols for collection and processing </w:t>
      </w:r>
      <w:r w:rsidR="0066694E" w:rsidRPr="006A58C1">
        <w:rPr>
          <w:rFonts w:ascii="Arial Narrow" w:hAnsi="Arial Narrow" w:cs="Calibri"/>
        </w:rPr>
        <w:t>(</w:t>
      </w:r>
      <w:hyperlink r:id="rId14" w:history="1">
        <w:r w:rsidR="0066694E" w:rsidRPr="006A58C1">
          <w:rPr>
            <w:rStyle w:val="Hyperlink"/>
            <w:rFonts w:ascii="Arial Narrow" w:hAnsi="Arial Narrow" w:cs="Calibri"/>
          </w:rPr>
          <w:t>http://www.immunetolerance.org/professionals/research/lab-protocols</w:t>
        </w:r>
      </w:hyperlink>
      <w:r w:rsidR="0066694E" w:rsidRPr="006A58C1">
        <w:rPr>
          <w:rFonts w:ascii="Arial Narrow" w:hAnsi="Arial Narrow" w:cs="Calibri"/>
        </w:rPr>
        <w:t xml:space="preserve">) </w:t>
      </w:r>
      <w:r w:rsidRPr="006A58C1">
        <w:rPr>
          <w:rFonts w:ascii="Arial Narrow" w:hAnsi="Arial Narrow" w:cs="Calibri"/>
        </w:rPr>
        <w:t>that have been vetted extensively and are updated annually</w:t>
      </w:r>
      <w:r w:rsidR="0066694E" w:rsidRPr="006A58C1">
        <w:rPr>
          <w:rFonts w:ascii="Arial Narrow" w:hAnsi="Arial Narrow" w:cs="Calibri"/>
        </w:rPr>
        <w:t xml:space="preserve">. These </w:t>
      </w:r>
      <w:r w:rsidRPr="006A58C1">
        <w:rPr>
          <w:rFonts w:ascii="Arial Narrow" w:hAnsi="Arial Narrow" w:cs="Calibri"/>
        </w:rPr>
        <w:t>provide a valuable resource for clinicians involved in clinical trials for which bio-sampling will occur.</w:t>
      </w:r>
      <w:r w:rsidR="00B9409F" w:rsidRPr="006A58C1">
        <w:rPr>
          <w:rFonts w:ascii="Arial Narrow" w:hAnsi="Arial Narrow" w:cs="Calibri"/>
        </w:rPr>
        <w:t xml:space="preserve"> </w:t>
      </w:r>
      <w:r w:rsidR="00217A4A" w:rsidRPr="006A58C1">
        <w:rPr>
          <w:rFonts w:ascii="Arial Narrow" w:hAnsi="Arial Narrow" w:cs="Calibri"/>
        </w:rPr>
        <w:t xml:space="preserve"> </w:t>
      </w:r>
      <w:r w:rsidR="0066694E" w:rsidRPr="006A58C1">
        <w:rPr>
          <w:rFonts w:ascii="Arial Narrow" w:hAnsi="Arial Narrow" w:cs="Calibri"/>
        </w:rPr>
        <w:t xml:space="preserve">They have also done a number of gene expression experiments in MS trials using whole blood and have a listing of immune tolerance related genes that can be explored in collaboration with Applied Biosystems and Celera Genomics. ITN is also </w:t>
      </w:r>
      <w:r w:rsidR="005A0664" w:rsidRPr="006A58C1">
        <w:rPr>
          <w:rFonts w:ascii="Arial Narrow" w:hAnsi="Arial Narrow" w:cs="Calibri"/>
        </w:rPr>
        <w:t>conducting</w:t>
      </w:r>
      <w:r w:rsidR="0066694E" w:rsidRPr="006A58C1">
        <w:rPr>
          <w:rFonts w:ascii="Arial Narrow" w:hAnsi="Arial Narrow" w:cs="Calibri"/>
        </w:rPr>
        <w:t xml:space="preserve"> cell subset and T-cell repertoire studies using an ITN core to do the sequencing.</w:t>
      </w:r>
    </w:p>
    <w:p w:rsidR="00896121" w:rsidRPr="009367C4" w:rsidRDefault="00896121" w:rsidP="00846308">
      <w:pPr>
        <w:spacing w:after="0" w:line="240" w:lineRule="auto"/>
        <w:rPr>
          <w:rFonts w:cs="Calibri"/>
        </w:rPr>
      </w:pPr>
    </w:p>
    <w:p w:rsidR="00CB291E" w:rsidRPr="006A58C1" w:rsidRDefault="00EC6ED3" w:rsidP="006A58C1">
      <w:pPr>
        <w:spacing w:after="0"/>
        <w:rPr>
          <w:rFonts w:ascii="Arial Narrow" w:hAnsi="Arial Narrow" w:cs="Calibri"/>
        </w:rPr>
      </w:pPr>
      <w:r w:rsidRPr="006A58C1">
        <w:rPr>
          <w:rFonts w:ascii="Arial Narrow" w:hAnsi="Arial Narrow" w:cs="Calibri"/>
        </w:rPr>
        <w:t>ITN supported study s</w:t>
      </w:r>
      <w:r w:rsidR="00CB291E" w:rsidRPr="006A58C1">
        <w:rPr>
          <w:rFonts w:ascii="Arial Narrow" w:hAnsi="Arial Narrow" w:cs="Calibri"/>
        </w:rPr>
        <w:t xml:space="preserve">amples (serum, PBMC) were initially drawn by sites and processed locally (including T-cell activation) before central shipment for further testing. However, due to issues with yield, </w:t>
      </w:r>
      <w:r w:rsidRPr="006A58C1">
        <w:rPr>
          <w:rFonts w:ascii="Arial Narrow" w:hAnsi="Arial Narrow" w:cs="Calibri"/>
        </w:rPr>
        <w:t xml:space="preserve">delivery and specimen </w:t>
      </w:r>
      <w:r w:rsidR="00CB291E" w:rsidRPr="006A58C1">
        <w:rPr>
          <w:rFonts w:ascii="Arial Narrow" w:hAnsi="Arial Narrow" w:cs="Calibri"/>
        </w:rPr>
        <w:t>consistency</w:t>
      </w:r>
      <w:r w:rsidRPr="006A58C1">
        <w:rPr>
          <w:rFonts w:ascii="Arial Narrow" w:hAnsi="Arial Narrow" w:cs="Calibri"/>
        </w:rPr>
        <w:t>,</w:t>
      </w:r>
      <w:r w:rsidR="00CB291E" w:rsidRPr="006A58C1">
        <w:rPr>
          <w:rFonts w:ascii="Arial Narrow" w:hAnsi="Arial Narrow" w:cs="Calibri"/>
        </w:rPr>
        <w:t xml:space="preserve"> this </w:t>
      </w:r>
      <w:r w:rsidRPr="006A58C1">
        <w:rPr>
          <w:rFonts w:ascii="Arial Narrow" w:hAnsi="Arial Narrow" w:cs="Calibri"/>
        </w:rPr>
        <w:t>has evolved</w:t>
      </w:r>
      <w:r w:rsidR="00CB291E" w:rsidRPr="006A58C1">
        <w:rPr>
          <w:rFonts w:ascii="Arial Narrow" w:hAnsi="Arial Narrow" w:cs="Calibri"/>
        </w:rPr>
        <w:t xml:space="preserve"> to having sites draw samples and ship</w:t>
      </w:r>
      <w:r w:rsidRPr="006A58C1">
        <w:rPr>
          <w:rFonts w:ascii="Arial Narrow" w:hAnsi="Arial Narrow" w:cs="Calibri"/>
        </w:rPr>
        <w:t>, without processing,</w:t>
      </w:r>
      <w:r w:rsidR="00CB291E" w:rsidRPr="006A58C1">
        <w:rPr>
          <w:rFonts w:ascii="Arial Narrow" w:hAnsi="Arial Narrow" w:cs="Calibri"/>
        </w:rPr>
        <w:t xml:space="preserve"> to Rutgers (Rutgers University Cell and DNA Repository) for processing and aliquoting and then storage in liquid nitrogen before subsequent batch shipping to Fisher Bioservices for longer-term storage. PBMCs can be shipped ambient within 24-48 hours while serum, whole blood, </w:t>
      </w:r>
      <w:r w:rsidRPr="006A58C1">
        <w:rPr>
          <w:rFonts w:ascii="Arial Narrow" w:hAnsi="Arial Narrow" w:cs="Calibri"/>
        </w:rPr>
        <w:t xml:space="preserve">and </w:t>
      </w:r>
      <w:r w:rsidR="00CB291E" w:rsidRPr="006A58C1">
        <w:rPr>
          <w:rFonts w:ascii="Arial Narrow" w:hAnsi="Arial Narrow" w:cs="Calibri"/>
        </w:rPr>
        <w:t xml:space="preserve">other samples are frozen and shipped on dry ice for processing and storage. </w:t>
      </w:r>
      <w:r w:rsidR="0066694E" w:rsidRPr="006A58C1">
        <w:rPr>
          <w:rFonts w:ascii="Arial Narrow" w:hAnsi="Arial Narrow" w:cs="Calibri"/>
        </w:rPr>
        <w:t xml:space="preserve">The samples (~290,000 currently) have clinical data </w:t>
      </w:r>
      <w:r w:rsidRPr="006A58C1">
        <w:rPr>
          <w:rFonts w:ascii="Arial Narrow" w:hAnsi="Arial Narrow" w:cs="Calibri"/>
        </w:rPr>
        <w:t xml:space="preserve">linked </w:t>
      </w:r>
      <w:r w:rsidR="0066694E" w:rsidRPr="006A58C1">
        <w:rPr>
          <w:rFonts w:ascii="Arial Narrow" w:hAnsi="Arial Narrow" w:cs="Calibri"/>
        </w:rPr>
        <w:t xml:space="preserve">to them within the repository database.  </w:t>
      </w:r>
    </w:p>
    <w:p w:rsidR="00934EA6" w:rsidRDefault="00CB291E" w:rsidP="006A58C1">
      <w:pPr>
        <w:spacing w:after="0"/>
        <w:rPr>
          <w:rFonts w:ascii="Arial Narrow" w:hAnsi="Arial Narrow" w:cs="Calibri"/>
        </w:rPr>
      </w:pPr>
      <w:r w:rsidRPr="006A58C1">
        <w:rPr>
          <w:rFonts w:ascii="Arial Narrow" w:hAnsi="Arial Narrow" w:cs="Calibri"/>
        </w:rPr>
        <w:t xml:space="preserve">The ITN repository lends itself to four </w:t>
      </w:r>
      <w:r w:rsidR="00934EA6" w:rsidRPr="006A58C1">
        <w:rPr>
          <w:rFonts w:ascii="Arial Narrow" w:hAnsi="Arial Narrow" w:cs="Calibri"/>
        </w:rPr>
        <w:t>levels of studies to consider</w:t>
      </w:r>
      <w:r w:rsidRPr="006A58C1">
        <w:rPr>
          <w:rFonts w:ascii="Arial Narrow" w:hAnsi="Arial Narrow" w:cs="Calibri"/>
        </w:rPr>
        <w:t>.</w:t>
      </w:r>
      <w:r w:rsidR="00934EA6" w:rsidRPr="006A58C1">
        <w:rPr>
          <w:rFonts w:ascii="Arial Narrow" w:hAnsi="Arial Narrow" w:cs="Calibri"/>
        </w:rPr>
        <w:t xml:space="preserve"> </w:t>
      </w:r>
    </w:p>
    <w:p w:rsidR="006A58C1" w:rsidRPr="006A58C1" w:rsidRDefault="006A58C1" w:rsidP="006A58C1">
      <w:pPr>
        <w:spacing w:after="0"/>
        <w:rPr>
          <w:rFonts w:ascii="Arial Narrow" w:hAnsi="Arial Narrow" w:cs="Calibri"/>
        </w:rPr>
      </w:pPr>
    </w:p>
    <w:p w:rsidR="00CB291E" w:rsidRDefault="00934EA6" w:rsidP="006A58C1">
      <w:pPr>
        <w:spacing w:after="0"/>
        <w:rPr>
          <w:rFonts w:ascii="Arial Narrow" w:hAnsi="Arial Narrow" w:cs="Calibri"/>
        </w:rPr>
      </w:pPr>
      <w:r w:rsidRPr="006A58C1">
        <w:rPr>
          <w:rFonts w:ascii="Arial Narrow" w:hAnsi="Arial Narrow" w:cs="Calibri"/>
        </w:rPr>
        <w:tab/>
      </w:r>
      <w:r w:rsidRPr="006A58C1">
        <w:rPr>
          <w:rFonts w:ascii="Arial Narrow" w:hAnsi="Arial Narrow" w:cs="Calibri"/>
          <w:b/>
        </w:rPr>
        <w:t>Core studies</w:t>
      </w:r>
      <w:r w:rsidR="00CB291E" w:rsidRPr="006A58C1">
        <w:rPr>
          <w:rFonts w:ascii="Arial Narrow" w:hAnsi="Arial Narrow" w:cs="Calibri"/>
          <w:b/>
        </w:rPr>
        <w:t xml:space="preserve"> </w:t>
      </w:r>
      <w:r w:rsidR="00CB1370" w:rsidRPr="006A58C1">
        <w:rPr>
          <w:rFonts w:ascii="Arial Narrow" w:hAnsi="Arial Narrow" w:cs="Calibri"/>
          <w:b/>
        </w:rPr>
        <w:t xml:space="preserve">– </w:t>
      </w:r>
      <w:r w:rsidRPr="006A58C1">
        <w:rPr>
          <w:rFonts w:ascii="Arial Narrow" w:hAnsi="Arial Narrow" w:cs="Calibri"/>
        </w:rPr>
        <w:t xml:space="preserve">conducted by all </w:t>
      </w:r>
      <w:r w:rsidR="00CB291E" w:rsidRPr="006A58C1">
        <w:rPr>
          <w:rFonts w:ascii="Arial Narrow" w:hAnsi="Arial Narrow" w:cs="Calibri"/>
        </w:rPr>
        <w:t>s</w:t>
      </w:r>
      <w:r w:rsidRPr="006A58C1">
        <w:rPr>
          <w:rFonts w:ascii="Arial Narrow" w:hAnsi="Arial Narrow" w:cs="Calibri"/>
        </w:rPr>
        <w:t xml:space="preserve">ites in </w:t>
      </w:r>
      <w:r w:rsidR="00CB291E" w:rsidRPr="006A58C1">
        <w:rPr>
          <w:rFonts w:ascii="Arial Narrow" w:hAnsi="Arial Narrow" w:cs="Calibri"/>
        </w:rPr>
        <w:t>a s</w:t>
      </w:r>
      <w:r w:rsidRPr="006A58C1">
        <w:rPr>
          <w:rFonts w:ascii="Arial Narrow" w:hAnsi="Arial Narrow" w:cs="Calibri"/>
        </w:rPr>
        <w:t>tudy</w:t>
      </w:r>
      <w:r w:rsidR="00CB291E" w:rsidRPr="006A58C1">
        <w:rPr>
          <w:rFonts w:ascii="Arial Narrow" w:hAnsi="Arial Narrow" w:cs="Calibri"/>
        </w:rPr>
        <w:t xml:space="preserve">. </w:t>
      </w:r>
    </w:p>
    <w:p w:rsidR="006A58C1" w:rsidRPr="006A58C1" w:rsidRDefault="006A58C1" w:rsidP="006A58C1">
      <w:pPr>
        <w:spacing w:after="0"/>
        <w:rPr>
          <w:rFonts w:ascii="Arial Narrow" w:hAnsi="Arial Narrow" w:cs="Calibri"/>
        </w:rPr>
      </w:pPr>
    </w:p>
    <w:p w:rsidR="00934EA6" w:rsidRDefault="00934EA6" w:rsidP="006A58C1">
      <w:pPr>
        <w:spacing w:after="0"/>
        <w:ind w:left="720"/>
        <w:rPr>
          <w:rFonts w:ascii="Arial Narrow" w:hAnsi="Arial Narrow" w:cs="Calibri"/>
        </w:rPr>
      </w:pPr>
      <w:r w:rsidRPr="006A58C1">
        <w:rPr>
          <w:rFonts w:ascii="Arial Narrow" w:hAnsi="Arial Narrow" w:cs="Calibri"/>
          <w:b/>
        </w:rPr>
        <w:t>Pooled studies</w:t>
      </w:r>
      <w:r w:rsidRPr="006A58C1">
        <w:rPr>
          <w:rFonts w:ascii="Arial Narrow" w:hAnsi="Arial Narrow" w:cs="Calibri"/>
        </w:rPr>
        <w:t xml:space="preserve"> –</w:t>
      </w:r>
      <w:r w:rsidR="00CB291E" w:rsidRPr="006A58C1">
        <w:rPr>
          <w:rFonts w:ascii="Arial Narrow" w:hAnsi="Arial Narrow" w:cs="Calibri"/>
        </w:rPr>
        <w:t xml:space="preserve"> subsets of sites</w:t>
      </w:r>
      <w:r w:rsidR="00EC6ED3" w:rsidRPr="006A58C1">
        <w:rPr>
          <w:rFonts w:ascii="Arial Narrow" w:hAnsi="Arial Narrow" w:cs="Calibri"/>
        </w:rPr>
        <w:t>, not study-wide,</w:t>
      </w:r>
      <w:r w:rsidR="00CB291E" w:rsidRPr="006A58C1">
        <w:rPr>
          <w:rFonts w:ascii="Arial Narrow" w:hAnsi="Arial Narrow" w:cs="Calibri"/>
        </w:rPr>
        <w:t xml:space="preserve"> can </w:t>
      </w:r>
      <w:r w:rsidRPr="006A58C1">
        <w:rPr>
          <w:rFonts w:ascii="Arial Narrow" w:hAnsi="Arial Narrow" w:cs="Calibri"/>
        </w:rPr>
        <w:t>exchange samples for sub-studies of mutual interest.</w:t>
      </w:r>
    </w:p>
    <w:p w:rsidR="006A58C1" w:rsidRPr="006A58C1" w:rsidRDefault="006A58C1" w:rsidP="006A58C1">
      <w:pPr>
        <w:spacing w:after="0"/>
        <w:ind w:left="720"/>
        <w:rPr>
          <w:rFonts w:ascii="Arial Narrow" w:hAnsi="Arial Narrow" w:cs="Calibri"/>
        </w:rPr>
      </w:pPr>
    </w:p>
    <w:p w:rsidR="00934EA6" w:rsidRDefault="00934EA6" w:rsidP="006A58C1">
      <w:pPr>
        <w:spacing w:after="0"/>
        <w:ind w:left="720"/>
        <w:rPr>
          <w:rFonts w:ascii="Arial Narrow" w:hAnsi="Arial Narrow" w:cs="Calibri"/>
        </w:rPr>
      </w:pPr>
      <w:r w:rsidRPr="006A58C1">
        <w:rPr>
          <w:rFonts w:ascii="Arial Narrow" w:hAnsi="Arial Narrow" w:cs="Calibri"/>
          <w:b/>
        </w:rPr>
        <w:t>Individual studies</w:t>
      </w:r>
      <w:r w:rsidRPr="006A58C1">
        <w:rPr>
          <w:rFonts w:ascii="Arial Narrow" w:hAnsi="Arial Narrow" w:cs="Calibri"/>
        </w:rPr>
        <w:t xml:space="preserve"> –</w:t>
      </w:r>
      <w:r w:rsidR="00CB291E" w:rsidRPr="006A58C1">
        <w:rPr>
          <w:rFonts w:ascii="Arial Narrow" w:hAnsi="Arial Narrow" w:cs="Calibri"/>
        </w:rPr>
        <w:t xml:space="preserve"> </w:t>
      </w:r>
      <w:r w:rsidRPr="006A58C1">
        <w:rPr>
          <w:rFonts w:ascii="Arial Narrow" w:hAnsi="Arial Narrow" w:cs="Calibri"/>
        </w:rPr>
        <w:t>single</w:t>
      </w:r>
      <w:r w:rsidR="00CB291E" w:rsidRPr="006A58C1">
        <w:rPr>
          <w:rFonts w:ascii="Arial Narrow" w:hAnsi="Arial Narrow" w:cs="Calibri"/>
        </w:rPr>
        <w:t>-</w:t>
      </w:r>
      <w:r w:rsidRPr="006A58C1">
        <w:rPr>
          <w:rFonts w:ascii="Arial Narrow" w:hAnsi="Arial Narrow" w:cs="Calibri"/>
        </w:rPr>
        <w:t>site, specific stud</w:t>
      </w:r>
      <w:r w:rsidR="00EC6ED3" w:rsidRPr="006A58C1">
        <w:rPr>
          <w:rFonts w:ascii="Arial Narrow" w:hAnsi="Arial Narrow" w:cs="Calibri"/>
        </w:rPr>
        <w:t>ies</w:t>
      </w:r>
      <w:r w:rsidRPr="006A58C1">
        <w:rPr>
          <w:rFonts w:ascii="Arial Narrow" w:hAnsi="Arial Narrow" w:cs="Calibri"/>
        </w:rPr>
        <w:t xml:space="preserve"> without involvement of Core or other centers.</w:t>
      </w:r>
    </w:p>
    <w:p w:rsidR="006A58C1" w:rsidRPr="006A58C1" w:rsidRDefault="006A58C1" w:rsidP="006A58C1">
      <w:pPr>
        <w:spacing w:after="0"/>
        <w:ind w:left="720"/>
        <w:rPr>
          <w:rFonts w:ascii="Arial Narrow" w:hAnsi="Arial Narrow" w:cs="Calibri"/>
        </w:rPr>
      </w:pPr>
    </w:p>
    <w:p w:rsidR="00934EA6" w:rsidRDefault="00934EA6" w:rsidP="006A58C1">
      <w:pPr>
        <w:spacing w:after="0"/>
        <w:ind w:left="720"/>
        <w:rPr>
          <w:rFonts w:ascii="Arial Narrow" w:hAnsi="Arial Narrow" w:cs="Calibri"/>
        </w:rPr>
      </w:pPr>
      <w:r w:rsidRPr="006A58C1">
        <w:rPr>
          <w:rFonts w:ascii="Arial Narrow" w:hAnsi="Arial Narrow" w:cs="Calibri"/>
          <w:b/>
          <w:i/>
        </w:rPr>
        <w:t xml:space="preserve">Post-facto </w:t>
      </w:r>
      <w:r w:rsidRPr="006A58C1">
        <w:rPr>
          <w:rFonts w:ascii="Arial Narrow" w:hAnsi="Arial Narrow" w:cs="Calibri"/>
          <w:b/>
        </w:rPr>
        <w:t>external studies</w:t>
      </w:r>
      <w:r w:rsidR="001263F1" w:rsidRPr="006A58C1">
        <w:rPr>
          <w:rFonts w:ascii="Arial Narrow" w:hAnsi="Arial Narrow" w:cs="Calibri"/>
          <w:b/>
        </w:rPr>
        <w:t xml:space="preserve"> (BioShare</w:t>
      </w:r>
      <w:r w:rsidR="007A5B3B" w:rsidRPr="006A58C1">
        <w:rPr>
          <w:rFonts w:ascii="Arial Narrow" w:hAnsi="Arial Narrow" w:cs="Calibri"/>
          <w:b/>
        </w:rPr>
        <w:t xml:space="preserve"> - </w:t>
      </w:r>
      <w:r w:rsidR="007A5B3B" w:rsidRPr="006A58C1">
        <w:rPr>
          <w:rFonts w:ascii="Arial Narrow" w:hAnsi="Arial Narrow" w:cs="Calibri"/>
        </w:rPr>
        <w:t>http://itnbioshare.org</w:t>
      </w:r>
      <w:r w:rsidR="007A5B3B" w:rsidRPr="006A58C1">
        <w:rPr>
          <w:rFonts w:ascii="Arial Narrow" w:hAnsi="Arial Narrow" w:cs="Calibri"/>
          <w:b/>
        </w:rPr>
        <w:t>/</w:t>
      </w:r>
      <w:r w:rsidR="001263F1" w:rsidRPr="006A58C1">
        <w:rPr>
          <w:rFonts w:ascii="Arial Narrow" w:hAnsi="Arial Narrow" w:cs="Calibri"/>
          <w:b/>
        </w:rPr>
        <w:t>)</w:t>
      </w:r>
      <w:r w:rsidRPr="006A58C1">
        <w:rPr>
          <w:rFonts w:ascii="Arial Narrow" w:hAnsi="Arial Narrow" w:cs="Calibri"/>
        </w:rPr>
        <w:t xml:space="preserve"> – other centers not involved in </w:t>
      </w:r>
      <w:r w:rsidR="00BA7B6E" w:rsidRPr="006A58C1">
        <w:rPr>
          <w:rFonts w:ascii="Arial Narrow" w:hAnsi="Arial Narrow" w:cs="Calibri"/>
        </w:rPr>
        <w:t xml:space="preserve">a specific </w:t>
      </w:r>
      <w:r w:rsidRPr="006A58C1">
        <w:rPr>
          <w:rFonts w:ascii="Arial Narrow" w:hAnsi="Arial Narrow" w:cs="Calibri"/>
        </w:rPr>
        <w:t xml:space="preserve">study </w:t>
      </w:r>
      <w:r w:rsidR="00EC6ED3" w:rsidRPr="006A58C1">
        <w:rPr>
          <w:rFonts w:ascii="Arial Narrow" w:hAnsi="Arial Narrow" w:cs="Calibri"/>
        </w:rPr>
        <w:t xml:space="preserve">can </w:t>
      </w:r>
      <w:r w:rsidRPr="006A58C1">
        <w:rPr>
          <w:rFonts w:ascii="Arial Narrow" w:hAnsi="Arial Narrow" w:cs="Calibri"/>
        </w:rPr>
        <w:t xml:space="preserve">apply for access to samples via ITN and </w:t>
      </w:r>
      <w:r w:rsidR="001263F1" w:rsidRPr="006A58C1">
        <w:rPr>
          <w:rFonts w:ascii="Arial Narrow" w:hAnsi="Arial Narrow" w:cs="Calibri"/>
        </w:rPr>
        <w:t>after scientific review</w:t>
      </w:r>
      <w:r w:rsidRPr="006A58C1">
        <w:rPr>
          <w:rFonts w:ascii="Arial Narrow" w:hAnsi="Arial Narrow" w:cs="Calibri"/>
        </w:rPr>
        <w:t>, samples</w:t>
      </w:r>
      <w:r w:rsidR="00BA7B6E" w:rsidRPr="006A58C1">
        <w:rPr>
          <w:rFonts w:ascii="Arial Narrow" w:hAnsi="Arial Narrow" w:cs="Calibri"/>
        </w:rPr>
        <w:t>, including phenotypic data,</w:t>
      </w:r>
      <w:r w:rsidRPr="006A58C1">
        <w:rPr>
          <w:rFonts w:ascii="Arial Narrow" w:hAnsi="Arial Narrow" w:cs="Calibri"/>
        </w:rPr>
        <w:t xml:space="preserve"> </w:t>
      </w:r>
      <w:r w:rsidR="00BA7B6E" w:rsidRPr="006A58C1">
        <w:rPr>
          <w:rFonts w:ascii="Arial Narrow" w:hAnsi="Arial Narrow" w:cs="Calibri"/>
        </w:rPr>
        <w:t xml:space="preserve">can be </w:t>
      </w:r>
      <w:r w:rsidRPr="006A58C1">
        <w:rPr>
          <w:rFonts w:ascii="Arial Narrow" w:hAnsi="Arial Narrow" w:cs="Calibri"/>
        </w:rPr>
        <w:t>provided if deemed appropriate</w:t>
      </w:r>
      <w:r w:rsidR="00BA7B6E" w:rsidRPr="006A58C1">
        <w:rPr>
          <w:rFonts w:ascii="Arial Narrow" w:hAnsi="Arial Narrow" w:cs="Calibri"/>
        </w:rPr>
        <w:t>. However, there is a moratorium on provision of samples until 18 months after study close to allow investigators first access at pursuing scientific questions</w:t>
      </w:r>
      <w:r w:rsidR="001263F1" w:rsidRPr="006A58C1">
        <w:rPr>
          <w:rFonts w:ascii="Arial Narrow" w:hAnsi="Arial Narrow" w:cs="Calibri"/>
        </w:rPr>
        <w:t>.</w:t>
      </w:r>
      <w:r w:rsidR="00515E70" w:rsidRPr="006A58C1">
        <w:rPr>
          <w:rFonts w:ascii="Arial Narrow" w:hAnsi="Arial Narrow" w:cs="Calibri"/>
        </w:rPr>
        <w:t xml:space="preserve"> [ed. Note – given the speed of research and value of samples, the subgroup would encourage ITN to consider a reduced length of moratorium]</w:t>
      </w:r>
    </w:p>
    <w:p w:rsidR="006A58C1" w:rsidRPr="006A58C1" w:rsidRDefault="006A58C1" w:rsidP="006A58C1">
      <w:pPr>
        <w:spacing w:after="0"/>
        <w:ind w:left="720"/>
        <w:rPr>
          <w:rFonts w:ascii="Arial Narrow" w:hAnsi="Arial Narrow" w:cs="Calibri"/>
        </w:rPr>
      </w:pPr>
    </w:p>
    <w:p w:rsidR="007553F2" w:rsidRDefault="00934EA6" w:rsidP="006A58C1">
      <w:pPr>
        <w:spacing w:after="0"/>
        <w:rPr>
          <w:rFonts w:ascii="Arial Narrow" w:hAnsi="Arial Narrow" w:cs="Calibri"/>
        </w:rPr>
      </w:pPr>
      <w:r w:rsidRPr="006A58C1">
        <w:rPr>
          <w:rFonts w:ascii="Arial Narrow" w:hAnsi="Arial Narrow" w:cs="Calibri"/>
        </w:rPr>
        <w:t>Informed consent</w:t>
      </w:r>
      <w:r w:rsidR="00EC6ED3" w:rsidRPr="006A58C1">
        <w:rPr>
          <w:rFonts w:ascii="Arial Narrow" w:hAnsi="Arial Narrow" w:cs="Calibri"/>
        </w:rPr>
        <w:t xml:space="preserve"> forms</w:t>
      </w:r>
      <w:r w:rsidRPr="006A58C1">
        <w:rPr>
          <w:rFonts w:ascii="Arial Narrow" w:hAnsi="Arial Narrow" w:cs="Calibri"/>
        </w:rPr>
        <w:t xml:space="preserve"> </w:t>
      </w:r>
      <w:r w:rsidR="00BA7B6E" w:rsidRPr="006A58C1">
        <w:rPr>
          <w:rFonts w:ascii="Arial Narrow" w:hAnsi="Arial Narrow" w:cs="Calibri"/>
        </w:rPr>
        <w:t xml:space="preserve">are </w:t>
      </w:r>
      <w:r w:rsidRPr="006A58C1">
        <w:rPr>
          <w:rFonts w:ascii="Arial Narrow" w:hAnsi="Arial Narrow" w:cs="Calibri"/>
        </w:rPr>
        <w:t xml:space="preserve">developed for </w:t>
      </w:r>
      <w:r w:rsidR="00BA7B6E" w:rsidRPr="006A58C1">
        <w:rPr>
          <w:rFonts w:ascii="Arial Narrow" w:hAnsi="Arial Narrow" w:cs="Calibri"/>
        </w:rPr>
        <w:t xml:space="preserve">the </w:t>
      </w:r>
      <w:r w:rsidRPr="006A58C1">
        <w:rPr>
          <w:rFonts w:ascii="Arial Narrow" w:hAnsi="Arial Narrow" w:cs="Calibri"/>
        </w:rPr>
        <w:t xml:space="preserve">specific objectives of the </w:t>
      </w:r>
      <w:r w:rsidR="00BA7B6E" w:rsidRPr="006A58C1">
        <w:rPr>
          <w:rFonts w:ascii="Arial Narrow" w:hAnsi="Arial Narrow" w:cs="Calibri"/>
        </w:rPr>
        <w:t xml:space="preserve">various </w:t>
      </w:r>
      <w:r w:rsidRPr="006A58C1">
        <w:rPr>
          <w:rFonts w:ascii="Arial Narrow" w:hAnsi="Arial Narrow" w:cs="Calibri"/>
        </w:rPr>
        <w:t>studies.</w:t>
      </w:r>
      <w:r w:rsidR="00772BCF" w:rsidRPr="006A58C1">
        <w:rPr>
          <w:rFonts w:ascii="Arial Narrow" w:hAnsi="Arial Narrow" w:cs="Calibri"/>
        </w:rPr>
        <w:t xml:space="preserve"> </w:t>
      </w:r>
      <w:r w:rsidR="007553F2" w:rsidRPr="006A58C1">
        <w:rPr>
          <w:rFonts w:ascii="Arial Narrow" w:hAnsi="Arial Narrow" w:cs="Calibri"/>
        </w:rPr>
        <w:t xml:space="preserve">The above serve as examples of what can be done from </w:t>
      </w:r>
      <w:r w:rsidR="00C166D7" w:rsidRPr="006A58C1">
        <w:rPr>
          <w:rFonts w:ascii="Arial Narrow" w:hAnsi="Arial Narrow" w:cs="Calibri"/>
        </w:rPr>
        <w:t xml:space="preserve">the perspective of sample </w:t>
      </w:r>
      <w:r w:rsidR="007553F2" w:rsidRPr="006A58C1">
        <w:rPr>
          <w:rFonts w:ascii="Arial Narrow" w:hAnsi="Arial Narrow" w:cs="Calibri"/>
        </w:rPr>
        <w:t>collection and storage and provide information on best practices for bio-specimen work. If SOPs for bio-specimen collection and storage were readily available and agreed upon, it is likely that</w:t>
      </w:r>
      <w:r w:rsidR="00C166D7" w:rsidRPr="006A58C1">
        <w:rPr>
          <w:rFonts w:ascii="Arial Narrow" w:hAnsi="Arial Narrow" w:cs="Calibri"/>
        </w:rPr>
        <w:t xml:space="preserve"> more investigators would obtain samples and that the pharmaceutical</w:t>
      </w:r>
      <w:r w:rsidR="007553F2" w:rsidRPr="006A58C1">
        <w:rPr>
          <w:rFonts w:ascii="Arial Narrow" w:hAnsi="Arial Narrow" w:cs="Calibri"/>
        </w:rPr>
        <w:t xml:space="preserve"> industry would </w:t>
      </w:r>
      <w:r w:rsidR="00C166D7" w:rsidRPr="006A58C1">
        <w:rPr>
          <w:rFonts w:ascii="Arial Narrow" w:hAnsi="Arial Narrow" w:cs="Calibri"/>
        </w:rPr>
        <w:t xml:space="preserve">also </w:t>
      </w:r>
      <w:r w:rsidR="007553F2" w:rsidRPr="006A58C1">
        <w:rPr>
          <w:rFonts w:ascii="Arial Narrow" w:hAnsi="Arial Narrow" w:cs="Calibri"/>
        </w:rPr>
        <w:t xml:space="preserve">adopt this </w:t>
      </w:r>
      <w:r w:rsidR="00C166D7" w:rsidRPr="006A58C1">
        <w:rPr>
          <w:rFonts w:ascii="Arial Narrow" w:hAnsi="Arial Narrow" w:cs="Calibri"/>
        </w:rPr>
        <w:t>approach</w:t>
      </w:r>
      <w:r w:rsidR="00980CA6" w:rsidRPr="006A58C1">
        <w:rPr>
          <w:rFonts w:ascii="Arial Narrow" w:hAnsi="Arial Narrow" w:cs="Calibri"/>
        </w:rPr>
        <w:t>.</w:t>
      </w:r>
    </w:p>
    <w:p w:rsidR="006A58C1" w:rsidRPr="006A58C1" w:rsidRDefault="006A58C1" w:rsidP="006A58C1">
      <w:pPr>
        <w:spacing w:after="0"/>
        <w:rPr>
          <w:rFonts w:ascii="Arial Narrow" w:hAnsi="Arial Narrow" w:cs="Calibri"/>
        </w:rPr>
      </w:pPr>
    </w:p>
    <w:p w:rsidR="00934EA6" w:rsidRDefault="008E684C" w:rsidP="006A58C1">
      <w:pPr>
        <w:spacing w:after="0"/>
        <w:rPr>
          <w:rFonts w:ascii="Arial Narrow" w:hAnsi="Arial Narrow" w:cs="Calibri"/>
        </w:rPr>
      </w:pPr>
      <w:r w:rsidRPr="006A58C1">
        <w:rPr>
          <w:rFonts w:ascii="Arial Narrow" w:hAnsi="Arial Narrow" w:cs="Calibri"/>
        </w:rPr>
        <w:t>The MS</w:t>
      </w:r>
      <w:r w:rsidR="00772BCF" w:rsidRPr="006A58C1">
        <w:rPr>
          <w:rFonts w:ascii="Arial Narrow" w:hAnsi="Arial Narrow" w:cs="Calibri"/>
        </w:rPr>
        <w:t xml:space="preserve"> Subgroup </w:t>
      </w:r>
      <w:r w:rsidR="00C166D7" w:rsidRPr="006A58C1">
        <w:rPr>
          <w:rFonts w:ascii="Arial Narrow" w:hAnsi="Arial Narrow" w:cs="Calibri"/>
        </w:rPr>
        <w:t>r</w:t>
      </w:r>
      <w:r w:rsidR="00772BCF" w:rsidRPr="006A58C1">
        <w:rPr>
          <w:rFonts w:ascii="Arial Narrow" w:hAnsi="Arial Narrow" w:cs="Calibri"/>
        </w:rPr>
        <w:t>ecommend</w:t>
      </w:r>
      <w:r w:rsidRPr="006A58C1">
        <w:rPr>
          <w:rFonts w:ascii="Arial Narrow" w:hAnsi="Arial Narrow" w:cs="Calibri"/>
        </w:rPr>
        <w:t>ed</w:t>
      </w:r>
      <w:r w:rsidR="00772BCF" w:rsidRPr="006A58C1">
        <w:rPr>
          <w:rFonts w:ascii="Arial Narrow" w:hAnsi="Arial Narrow" w:cs="Calibri"/>
        </w:rPr>
        <w:t xml:space="preserve"> th</w:t>
      </w:r>
      <w:r w:rsidR="007553F2" w:rsidRPr="006A58C1">
        <w:rPr>
          <w:rFonts w:ascii="Arial Narrow" w:hAnsi="Arial Narrow" w:cs="Calibri"/>
        </w:rPr>
        <w:t>e ITN</w:t>
      </w:r>
      <w:r w:rsidR="00772BCF" w:rsidRPr="006A58C1">
        <w:rPr>
          <w:rFonts w:ascii="Arial Narrow" w:hAnsi="Arial Narrow" w:cs="Calibri"/>
        </w:rPr>
        <w:t xml:space="preserve"> model to investigators interested in collecting, and analyzi</w:t>
      </w:r>
      <w:r w:rsidRPr="006A58C1">
        <w:rPr>
          <w:rFonts w:ascii="Arial Narrow" w:hAnsi="Arial Narrow" w:cs="Calibri"/>
        </w:rPr>
        <w:t>ng, biospecimen material from</w:t>
      </w:r>
      <w:r w:rsidR="00772BCF" w:rsidRPr="006A58C1">
        <w:rPr>
          <w:rFonts w:ascii="Arial Narrow" w:hAnsi="Arial Narrow" w:cs="Calibri"/>
        </w:rPr>
        <w:t xml:space="preserve"> clinical trials</w:t>
      </w:r>
      <w:r w:rsidRPr="006A58C1">
        <w:rPr>
          <w:rFonts w:ascii="Arial Narrow" w:hAnsi="Arial Narrow" w:cs="Calibri"/>
        </w:rPr>
        <w:t xml:space="preserve">, and the Neuromuscular </w:t>
      </w:r>
      <w:r w:rsidR="006A58C1">
        <w:rPr>
          <w:rFonts w:ascii="Arial Narrow" w:hAnsi="Arial Narrow" w:cs="Calibri"/>
        </w:rPr>
        <w:t xml:space="preserve">diseases </w:t>
      </w:r>
      <w:r w:rsidRPr="006A58C1">
        <w:rPr>
          <w:rFonts w:ascii="Arial Narrow" w:hAnsi="Arial Narrow" w:cs="Calibri"/>
        </w:rPr>
        <w:t>Subgroup concurs with this opinion</w:t>
      </w:r>
      <w:r w:rsidR="00772BCF" w:rsidRPr="006A58C1">
        <w:rPr>
          <w:rFonts w:ascii="Arial Narrow" w:hAnsi="Arial Narrow" w:cs="Calibri"/>
        </w:rPr>
        <w:t xml:space="preserve">. Further, the ITN is open to assist investigative groups, including </w:t>
      </w:r>
      <w:r w:rsidR="00C166D7" w:rsidRPr="006A58C1">
        <w:rPr>
          <w:rFonts w:ascii="Arial Narrow" w:hAnsi="Arial Narrow" w:cs="Calibri"/>
        </w:rPr>
        <w:t xml:space="preserve">the </w:t>
      </w:r>
      <w:r w:rsidR="00772BCF" w:rsidRPr="006A58C1">
        <w:rPr>
          <w:rFonts w:ascii="Arial Narrow" w:hAnsi="Arial Narrow" w:cs="Calibri"/>
        </w:rPr>
        <w:t xml:space="preserve">potential use of ITN resources </w:t>
      </w:r>
      <w:r w:rsidR="00C166D7" w:rsidRPr="006A58C1">
        <w:rPr>
          <w:rFonts w:ascii="Arial Narrow" w:hAnsi="Arial Narrow" w:cs="Calibri"/>
        </w:rPr>
        <w:t>on</w:t>
      </w:r>
      <w:r w:rsidR="00772BCF" w:rsidRPr="006A58C1">
        <w:rPr>
          <w:rFonts w:ascii="Arial Narrow" w:hAnsi="Arial Narrow" w:cs="Calibri"/>
        </w:rPr>
        <w:t xml:space="preserve"> a </w:t>
      </w:r>
      <w:r w:rsidR="00C166D7" w:rsidRPr="006A58C1">
        <w:rPr>
          <w:rFonts w:ascii="Arial Narrow" w:hAnsi="Arial Narrow" w:cs="Calibri"/>
        </w:rPr>
        <w:t>cost-</w:t>
      </w:r>
      <w:r w:rsidR="00772BCF" w:rsidRPr="006A58C1">
        <w:rPr>
          <w:rFonts w:ascii="Arial Narrow" w:hAnsi="Arial Narrow" w:cs="Calibri"/>
        </w:rPr>
        <w:t>shar</w:t>
      </w:r>
      <w:r w:rsidR="00C166D7" w:rsidRPr="006A58C1">
        <w:rPr>
          <w:rFonts w:ascii="Arial Narrow" w:hAnsi="Arial Narrow" w:cs="Calibri"/>
        </w:rPr>
        <w:t>ing</w:t>
      </w:r>
      <w:r w:rsidR="00772BCF" w:rsidRPr="006A58C1">
        <w:rPr>
          <w:rFonts w:ascii="Arial Narrow" w:hAnsi="Arial Narrow" w:cs="Calibri"/>
        </w:rPr>
        <w:t xml:space="preserve"> </w:t>
      </w:r>
      <w:r w:rsidR="00C166D7" w:rsidRPr="006A58C1">
        <w:rPr>
          <w:rFonts w:ascii="Arial Narrow" w:hAnsi="Arial Narrow" w:cs="Calibri"/>
        </w:rPr>
        <w:t>basis</w:t>
      </w:r>
      <w:r w:rsidR="00772BCF" w:rsidRPr="006A58C1">
        <w:rPr>
          <w:rFonts w:ascii="Arial Narrow" w:hAnsi="Arial Narrow" w:cs="Calibri"/>
        </w:rPr>
        <w:t>.</w:t>
      </w:r>
    </w:p>
    <w:p w:rsidR="006A58C1" w:rsidRPr="006A58C1" w:rsidRDefault="006A58C1" w:rsidP="006A58C1">
      <w:pPr>
        <w:spacing w:after="0"/>
        <w:rPr>
          <w:rFonts w:ascii="Arial Narrow" w:hAnsi="Arial Narrow" w:cs="Calibri"/>
        </w:rPr>
      </w:pPr>
    </w:p>
    <w:p w:rsidR="00217A4A" w:rsidRPr="006A58C1" w:rsidRDefault="00934EA6" w:rsidP="006A58C1">
      <w:pPr>
        <w:spacing w:after="0"/>
        <w:rPr>
          <w:rFonts w:ascii="Arial Narrow" w:hAnsi="Arial Narrow" w:cs="Calibri"/>
          <w:b/>
        </w:rPr>
      </w:pPr>
      <w:r w:rsidRPr="006A58C1">
        <w:rPr>
          <w:rFonts w:ascii="Arial Narrow" w:hAnsi="Arial Narrow" w:cs="Calibri"/>
          <w:b/>
        </w:rPr>
        <w:t xml:space="preserve">5) </w:t>
      </w:r>
      <w:r w:rsidR="00217A4A" w:rsidRPr="006A58C1">
        <w:rPr>
          <w:rFonts w:ascii="Arial Narrow" w:hAnsi="Arial Narrow" w:cs="Calibri"/>
          <w:b/>
        </w:rPr>
        <w:t>Conclusions</w:t>
      </w:r>
    </w:p>
    <w:p w:rsidR="007553F2" w:rsidRDefault="00875A23" w:rsidP="006A58C1">
      <w:pPr>
        <w:spacing w:after="0"/>
        <w:rPr>
          <w:rFonts w:ascii="Arial Narrow" w:hAnsi="Arial Narrow" w:cs="Calibri"/>
        </w:rPr>
      </w:pPr>
      <w:r w:rsidRPr="006A58C1">
        <w:rPr>
          <w:rFonts w:ascii="Arial Narrow" w:hAnsi="Arial Narrow" w:cs="Calibri"/>
        </w:rPr>
        <w:t xml:space="preserve">Biospecimens most relevant to Neuromuscular clinical studies are DNA (gene mutation), muscle or nerve biopsy (histology, biochemical biomarkers), and serum/plasma (soluble biomarkers such as serum CPK and inflammatory </w:t>
      </w:r>
      <w:r w:rsidRPr="006A58C1">
        <w:rPr>
          <w:rFonts w:ascii="Arial Narrow" w:hAnsi="Arial Narrow" w:cs="Calibri"/>
        </w:rPr>
        <w:lastRenderedPageBreak/>
        <w:t>markers).   The biospecimens and relevant biomarkers are highly specific to the hundreds of individual myopathie</w:t>
      </w:r>
      <w:r w:rsidR="006A58C1">
        <w:rPr>
          <w:rFonts w:ascii="Arial Narrow" w:hAnsi="Arial Narrow" w:cs="Calibri"/>
        </w:rPr>
        <w:t>s and neuropathies lumped into</w:t>
      </w:r>
      <w:r w:rsidRPr="006A58C1">
        <w:rPr>
          <w:rFonts w:ascii="Arial Narrow" w:hAnsi="Arial Narrow" w:cs="Calibri"/>
        </w:rPr>
        <w:t xml:space="preserve"> Neuromuscular</w:t>
      </w:r>
      <w:r w:rsidR="006A58C1">
        <w:rPr>
          <w:rFonts w:ascii="Arial Narrow" w:hAnsi="Arial Narrow" w:cs="Calibri"/>
        </w:rPr>
        <w:t xml:space="preserve"> diseases</w:t>
      </w:r>
      <w:r w:rsidRPr="006A58C1">
        <w:rPr>
          <w:rFonts w:ascii="Arial Narrow" w:hAnsi="Arial Narrow" w:cs="Calibri"/>
        </w:rPr>
        <w:t xml:space="preserve">.  </w:t>
      </w:r>
      <w:r w:rsidR="007553F2" w:rsidRPr="006A58C1">
        <w:rPr>
          <w:rFonts w:ascii="Arial Narrow" w:hAnsi="Arial Narrow" w:cs="Calibri"/>
        </w:rPr>
        <w:t>At present no biomarkers achieve status as Core Date Element and very few even achieve the level of Supplementa</w:t>
      </w:r>
      <w:r w:rsidR="00EC6594" w:rsidRPr="006A58C1">
        <w:rPr>
          <w:rFonts w:ascii="Arial Narrow" w:hAnsi="Arial Narrow" w:cs="Calibri"/>
        </w:rPr>
        <w:t>l</w:t>
      </w:r>
      <w:r w:rsidR="007553F2" w:rsidRPr="006A58C1">
        <w:rPr>
          <w:rFonts w:ascii="Arial Narrow" w:hAnsi="Arial Narrow" w:cs="Calibri"/>
        </w:rPr>
        <w:t>, but rather most are simply exploratory. To advance the field, a concerted international effort around this topic is required. However, this requires commitment by many individuals and major financing to be done properly.</w:t>
      </w:r>
    </w:p>
    <w:p w:rsidR="006A58C1" w:rsidRPr="006A58C1" w:rsidRDefault="006A58C1" w:rsidP="006A58C1">
      <w:pPr>
        <w:spacing w:after="0"/>
        <w:rPr>
          <w:rFonts w:ascii="Arial Narrow" w:hAnsi="Arial Narrow" w:cs="Calibri"/>
        </w:rPr>
      </w:pPr>
    </w:p>
    <w:p w:rsidR="00BA7B6E" w:rsidRDefault="00875A23" w:rsidP="006A58C1">
      <w:pPr>
        <w:spacing w:after="0"/>
        <w:rPr>
          <w:rFonts w:ascii="Arial Narrow" w:hAnsi="Arial Narrow" w:cs="Calibri"/>
        </w:rPr>
      </w:pPr>
      <w:r w:rsidRPr="006A58C1">
        <w:rPr>
          <w:rFonts w:ascii="Arial Narrow" w:hAnsi="Arial Narrow" w:cs="Calibri"/>
        </w:rPr>
        <w:t>As noted by the MS Subgroup, g</w:t>
      </w:r>
      <w:r w:rsidR="00EC6ED3" w:rsidRPr="006A58C1">
        <w:rPr>
          <w:rFonts w:ascii="Arial Narrow" w:hAnsi="Arial Narrow" w:cs="Calibri"/>
        </w:rPr>
        <w:t xml:space="preserve">iven the </w:t>
      </w:r>
      <w:r w:rsidR="007553F2" w:rsidRPr="006A58C1">
        <w:rPr>
          <w:rFonts w:ascii="Arial Narrow" w:hAnsi="Arial Narrow" w:cs="Calibri"/>
        </w:rPr>
        <w:t xml:space="preserve">current lack of central funding support for such efforts, and given the </w:t>
      </w:r>
      <w:r w:rsidR="00EC6ED3" w:rsidRPr="006A58C1">
        <w:rPr>
          <w:rFonts w:ascii="Arial Narrow" w:hAnsi="Arial Narrow" w:cs="Calibri"/>
        </w:rPr>
        <w:t>existing experience and facilities</w:t>
      </w:r>
      <w:r w:rsidR="007553F2" w:rsidRPr="006A58C1">
        <w:rPr>
          <w:rFonts w:ascii="Arial Narrow" w:hAnsi="Arial Narrow" w:cs="Calibri"/>
        </w:rPr>
        <w:t xml:space="preserve"> of groups such as ITN</w:t>
      </w:r>
      <w:r w:rsidR="00EC6ED3" w:rsidRPr="006A58C1">
        <w:rPr>
          <w:rFonts w:ascii="Arial Narrow" w:hAnsi="Arial Narrow" w:cs="Calibri"/>
        </w:rPr>
        <w:t>, investigators considering bio</w:t>
      </w:r>
      <w:r w:rsidR="001B54FE" w:rsidRPr="006A58C1">
        <w:rPr>
          <w:rFonts w:ascii="Arial Narrow" w:hAnsi="Arial Narrow" w:cs="Calibri"/>
        </w:rPr>
        <w:t>-</w:t>
      </w:r>
      <w:r w:rsidR="00EC6ED3" w:rsidRPr="006A58C1">
        <w:rPr>
          <w:rFonts w:ascii="Arial Narrow" w:hAnsi="Arial Narrow" w:cs="Calibri"/>
        </w:rPr>
        <w:t xml:space="preserve">specimen research </w:t>
      </w:r>
      <w:r w:rsidR="007553F2" w:rsidRPr="006A58C1">
        <w:rPr>
          <w:rFonts w:ascii="Arial Narrow" w:hAnsi="Arial Narrow" w:cs="Calibri"/>
        </w:rPr>
        <w:t xml:space="preserve">should </w:t>
      </w:r>
      <w:r w:rsidR="00EC6ED3" w:rsidRPr="006A58C1">
        <w:rPr>
          <w:rFonts w:ascii="Arial Narrow" w:hAnsi="Arial Narrow" w:cs="Calibri"/>
        </w:rPr>
        <w:t>c</w:t>
      </w:r>
      <w:r w:rsidR="00BA7B6E" w:rsidRPr="006A58C1">
        <w:rPr>
          <w:rFonts w:ascii="Arial Narrow" w:hAnsi="Arial Narrow" w:cs="Calibri"/>
        </w:rPr>
        <w:t xml:space="preserve">onsider </w:t>
      </w:r>
      <w:r w:rsidR="007553F2" w:rsidRPr="006A58C1">
        <w:rPr>
          <w:rFonts w:ascii="Arial Narrow" w:hAnsi="Arial Narrow" w:cs="Calibri"/>
        </w:rPr>
        <w:t xml:space="preserve">leveraging this expertise, including </w:t>
      </w:r>
      <w:r w:rsidR="00BA7B6E" w:rsidRPr="006A58C1">
        <w:rPr>
          <w:rFonts w:ascii="Arial Narrow" w:hAnsi="Arial Narrow" w:cs="Calibri"/>
        </w:rPr>
        <w:t xml:space="preserve">partnering with </w:t>
      </w:r>
      <w:r w:rsidR="00772BCF" w:rsidRPr="006A58C1">
        <w:rPr>
          <w:rFonts w:ascii="Arial Narrow" w:hAnsi="Arial Narrow" w:cs="Calibri"/>
        </w:rPr>
        <w:t xml:space="preserve">an </w:t>
      </w:r>
      <w:r w:rsidR="00BA7B6E" w:rsidRPr="006A58C1">
        <w:rPr>
          <w:rFonts w:ascii="Arial Narrow" w:hAnsi="Arial Narrow" w:cs="Calibri"/>
        </w:rPr>
        <w:t>existing bio</w:t>
      </w:r>
      <w:r w:rsidR="00FC1CBB" w:rsidRPr="006A58C1">
        <w:rPr>
          <w:rFonts w:ascii="Arial Narrow" w:hAnsi="Arial Narrow" w:cs="Calibri"/>
        </w:rPr>
        <w:t>-</w:t>
      </w:r>
      <w:r w:rsidR="00BA7B6E" w:rsidRPr="006A58C1">
        <w:rPr>
          <w:rFonts w:ascii="Arial Narrow" w:hAnsi="Arial Narrow" w:cs="Calibri"/>
        </w:rPr>
        <w:t>bank facility</w:t>
      </w:r>
      <w:r w:rsidR="007553F2" w:rsidRPr="006A58C1">
        <w:rPr>
          <w:rFonts w:ascii="Arial Narrow" w:hAnsi="Arial Narrow" w:cs="Calibri"/>
        </w:rPr>
        <w:t xml:space="preserve"> when</w:t>
      </w:r>
      <w:r w:rsidR="00EC6594" w:rsidRPr="006A58C1">
        <w:rPr>
          <w:rFonts w:ascii="Arial Narrow" w:hAnsi="Arial Narrow" w:cs="Calibri"/>
        </w:rPr>
        <w:t xml:space="preserve"> establishing biospecimen activities within study protocols</w:t>
      </w:r>
      <w:r w:rsidR="00BA7B6E" w:rsidRPr="006A58C1">
        <w:rPr>
          <w:rFonts w:ascii="Arial Narrow" w:hAnsi="Arial Narrow" w:cs="Calibri"/>
        </w:rPr>
        <w:t xml:space="preserve">. </w:t>
      </w:r>
    </w:p>
    <w:p w:rsidR="006A58C1" w:rsidRPr="006A58C1" w:rsidRDefault="006A58C1" w:rsidP="006A58C1">
      <w:pPr>
        <w:spacing w:after="0"/>
        <w:rPr>
          <w:rFonts w:ascii="Arial Narrow" w:hAnsi="Arial Narrow" w:cs="Calibri"/>
        </w:rPr>
      </w:pPr>
    </w:p>
    <w:p w:rsidR="00BA7B6E" w:rsidRDefault="00EC6ED3" w:rsidP="006A58C1">
      <w:pPr>
        <w:spacing w:after="0"/>
        <w:rPr>
          <w:rFonts w:ascii="Arial Narrow" w:hAnsi="Arial Narrow" w:cs="Calibri"/>
        </w:rPr>
      </w:pPr>
      <w:r w:rsidRPr="006A58C1">
        <w:rPr>
          <w:rFonts w:ascii="Arial Narrow" w:hAnsi="Arial Narrow" w:cs="Calibri"/>
        </w:rPr>
        <w:t>Large scale projects could be very expensive</w:t>
      </w:r>
      <w:r w:rsidR="00772BCF" w:rsidRPr="006A58C1">
        <w:rPr>
          <w:rFonts w:ascii="Arial Narrow" w:hAnsi="Arial Narrow" w:cs="Calibri"/>
        </w:rPr>
        <w:t>. H</w:t>
      </w:r>
      <w:r w:rsidR="00BA7B6E" w:rsidRPr="006A58C1">
        <w:rPr>
          <w:rFonts w:ascii="Arial Narrow" w:hAnsi="Arial Narrow" w:cs="Calibri"/>
        </w:rPr>
        <w:t xml:space="preserve">owever, </w:t>
      </w:r>
      <w:r w:rsidR="00FC1CBB" w:rsidRPr="006A58C1">
        <w:rPr>
          <w:rFonts w:ascii="Arial Narrow" w:hAnsi="Arial Narrow" w:cs="Calibri"/>
        </w:rPr>
        <w:t xml:space="preserve">if </w:t>
      </w:r>
      <w:r w:rsidR="00BA7B6E" w:rsidRPr="006A58C1">
        <w:rPr>
          <w:rFonts w:ascii="Arial Narrow" w:hAnsi="Arial Narrow" w:cs="Calibri"/>
        </w:rPr>
        <w:t xml:space="preserve">the sample size is </w:t>
      </w:r>
      <w:r w:rsidR="00EC6594" w:rsidRPr="006A58C1">
        <w:rPr>
          <w:rFonts w:ascii="Arial Narrow" w:hAnsi="Arial Narrow" w:cs="Calibri"/>
        </w:rPr>
        <w:t xml:space="preserve">kept </w:t>
      </w:r>
      <w:r w:rsidR="00BA7B6E" w:rsidRPr="006A58C1">
        <w:rPr>
          <w:rFonts w:ascii="Arial Narrow" w:hAnsi="Arial Narrow" w:cs="Calibri"/>
        </w:rPr>
        <w:t xml:space="preserve">modest, </w:t>
      </w:r>
      <w:r w:rsidR="00FC1CBB" w:rsidRPr="006A58C1">
        <w:rPr>
          <w:rFonts w:ascii="Arial Narrow" w:hAnsi="Arial Narrow" w:cs="Calibri"/>
        </w:rPr>
        <w:t xml:space="preserve">such as </w:t>
      </w:r>
      <w:r w:rsidR="00BA7B6E" w:rsidRPr="006A58C1">
        <w:rPr>
          <w:rFonts w:ascii="Arial Narrow" w:hAnsi="Arial Narrow" w:cs="Calibri"/>
        </w:rPr>
        <w:t xml:space="preserve">MS Phase 2 studies </w:t>
      </w:r>
      <w:r w:rsidRPr="006A58C1">
        <w:rPr>
          <w:rFonts w:ascii="Arial Narrow" w:hAnsi="Arial Narrow" w:cs="Calibri"/>
        </w:rPr>
        <w:t>(~</w:t>
      </w:r>
      <w:r w:rsidR="00BA7B6E" w:rsidRPr="006A58C1">
        <w:rPr>
          <w:rFonts w:ascii="Arial Narrow" w:hAnsi="Arial Narrow" w:cs="Calibri"/>
        </w:rPr>
        <w:t xml:space="preserve"> a log scale </w:t>
      </w:r>
      <w:r w:rsidRPr="006A58C1">
        <w:rPr>
          <w:rFonts w:ascii="Arial Narrow" w:hAnsi="Arial Narrow" w:cs="Calibri"/>
        </w:rPr>
        <w:t>smaller</w:t>
      </w:r>
      <w:r w:rsidR="00BA7B6E" w:rsidRPr="006A58C1">
        <w:rPr>
          <w:rFonts w:ascii="Arial Narrow" w:hAnsi="Arial Narrow" w:cs="Calibri"/>
        </w:rPr>
        <w:t xml:space="preserve"> than the Phase 3 programs</w:t>
      </w:r>
      <w:r w:rsidRPr="006A58C1">
        <w:rPr>
          <w:rFonts w:ascii="Arial Narrow" w:hAnsi="Arial Narrow" w:cs="Calibri"/>
        </w:rPr>
        <w:t>)</w:t>
      </w:r>
      <w:r w:rsidR="00FC1CBB" w:rsidRPr="006A58C1">
        <w:rPr>
          <w:rFonts w:ascii="Arial Narrow" w:hAnsi="Arial Narrow" w:cs="Calibri"/>
        </w:rPr>
        <w:t>, sampling may be done with</w:t>
      </w:r>
      <w:r w:rsidRPr="006A58C1">
        <w:rPr>
          <w:rFonts w:ascii="Arial Narrow" w:hAnsi="Arial Narrow" w:cs="Calibri"/>
        </w:rPr>
        <w:t xml:space="preserve"> a</w:t>
      </w:r>
      <w:r w:rsidR="00FC1CBB" w:rsidRPr="006A58C1">
        <w:rPr>
          <w:rFonts w:ascii="Arial Narrow" w:hAnsi="Arial Narrow" w:cs="Calibri"/>
        </w:rPr>
        <w:t xml:space="preserve"> reasonable budget</w:t>
      </w:r>
      <w:r w:rsidR="00BA7B6E" w:rsidRPr="006A58C1">
        <w:rPr>
          <w:rFonts w:ascii="Arial Narrow" w:hAnsi="Arial Narrow" w:cs="Calibri"/>
        </w:rPr>
        <w:t xml:space="preserve">. </w:t>
      </w:r>
      <w:r w:rsidR="00772BCF" w:rsidRPr="006A58C1">
        <w:rPr>
          <w:rFonts w:ascii="Arial Narrow" w:hAnsi="Arial Narrow" w:cs="Calibri"/>
        </w:rPr>
        <w:t>Output from t</w:t>
      </w:r>
      <w:r w:rsidRPr="006A58C1">
        <w:rPr>
          <w:rFonts w:ascii="Arial Narrow" w:hAnsi="Arial Narrow" w:cs="Calibri"/>
        </w:rPr>
        <w:t xml:space="preserve">he </w:t>
      </w:r>
      <w:r w:rsidR="00BA7B6E" w:rsidRPr="006A58C1">
        <w:rPr>
          <w:rFonts w:ascii="Arial Narrow" w:hAnsi="Arial Narrow" w:cs="Calibri"/>
        </w:rPr>
        <w:t xml:space="preserve">CombiRx </w:t>
      </w:r>
      <w:r w:rsidRPr="006A58C1">
        <w:rPr>
          <w:rFonts w:ascii="Arial Narrow" w:hAnsi="Arial Narrow" w:cs="Calibri"/>
        </w:rPr>
        <w:t xml:space="preserve">study </w:t>
      </w:r>
      <w:r w:rsidR="00BA7B6E" w:rsidRPr="006A58C1">
        <w:rPr>
          <w:rFonts w:ascii="Arial Narrow" w:hAnsi="Arial Narrow" w:cs="Calibri"/>
        </w:rPr>
        <w:t xml:space="preserve">will </w:t>
      </w:r>
      <w:r w:rsidRPr="006A58C1">
        <w:rPr>
          <w:rFonts w:ascii="Arial Narrow" w:hAnsi="Arial Narrow" w:cs="Calibri"/>
        </w:rPr>
        <w:t>provide</w:t>
      </w:r>
      <w:r w:rsidR="00FC1CBB" w:rsidRPr="006A58C1">
        <w:rPr>
          <w:rFonts w:ascii="Arial Narrow" w:hAnsi="Arial Narrow" w:cs="Calibri"/>
        </w:rPr>
        <w:t xml:space="preserve"> </w:t>
      </w:r>
      <w:r w:rsidR="00BA7B6E" w:rsidRPr="006A58C1">
        <w:rPr>
          <w:rFonts w:ascii="Arial Narrow" w:hAnsi="Arial Narrow" w:cs="Calibri"/>
        </w:rPr>
        <w:t xml:space="preserve">useful </w:t>
      </w:r>
      <w:r w:rsidRPr="006A58C1">
        <w:rPr>
          <w:rFonts w:ascii="Arial Narrow" w:hAnsi="Arial Narrow" w:cs="Calibri"/>
        </w:rPr>
        <w:t>insight</w:t>
      </w:r>
      <w:r w:rsidR="00772BCF" w:rsidRPr="006A58C1">
        <w:rPr>
          <w:rFonts w:ascii="Arial Narrow" w:hAnsi="Arial Narrow" w:cs="Calibri"/>
        </w:rPr>
        <w:t>s</w:t>
      </w:r>
      <w:r w:rsidRPr="006A58C1">
        <w:rPr>
          <w:rFonts w:ascii="Arial Narrow" w:hAnsi="Arial Narrow" w:cs="Calibri"/>
        </w:rPr>
        <w:t xml:space="preserve"> on the </w:t>
      </w:r>
      <w:r w:rsidR="00BA7B6E" w:rsidRPr="006A58C1">
        <w:rPr>
          <w:rFonts w:ascii="Arial Narrow" w:hAnsi="Arial Narrow" w:cs="Calibri"/>
        </w:rPr>
        <w:t xml:space="preserve">larger scale study experience. </w:t>
      </w:r>
    </w:p>
    <w:p w:rsidR="006A58C1" w:rsidRPr="006A58C1" w:rsidRDefault="006A58C1" w:rsidP="006A58C1">
      <w:pPr>
        <w:spacing w:after="0"/>
        <w:rPr>
          <w:rFonts w:ascii="Arial Narrow" w:hAnsi="Arial Narrow" w:cs="Calibri"/>
        </w:rPr>
      </w:pPr>
    </w:p>
    <w:p w:rsidR="007553F2" w:rsidRPr="006A58C1" w:rsidRDefault="007553F2" w:rsidP="006A58C1">
      <w:pPr>
        <w:spacing w:after="0"/>
        <w:rPr>
          <w:rFonts w:ascii="Arial Narrow" w:hAnsi="Arial Narrow" w:cs="Calibri"/>
          <w:b/>
        </w:rPr>
      </w:pPr>
      <w:r w:rsidRPr="006A58C1">
        <w:rPr>
          <w:rFonts w:ascii="Arial Narrow" w:hAnsi="Arial Narrow" w:cs="Calibri"/>
          <w:b/>
        </w:rPr>
        <w:t>6) Recommendations</w:t>
      </w:r>
      <w:r w:rsidR="00875A23" w:rsidRPr="006A58C1">
        <w:rPr>
          <w:rFonts w:ascii="Arial Narrow" w:hAnsi="Arial Narrow" w:cs="Calibri"/>
          <w:b/>
        </w:rPr>
        <w:t xml:space="preserve"> (from the MS Subgroup)</w:t>
      </w:r>
      <w:r w:rsidR="00EC6594" w:rsidRPr="006A58C1">
        <w:rPr>
          <w:rFonts w:ascii="Arial Narrow" w:hAnsi="Arial Narrow" w:cs="Calibri"/>
          <w:b/>
        </w:rPr>
        <w:t>:</w:t>
      </w:r>
    </w:p>
    <w:p w:rsidR="00EC6594" w:rsidRPr="006A58C1" w:rsidRDefault="00EC6594" w:rsidP="006A58C1">
      <w:pPr>
        <w:spacing w:after="0"/>
        <w:rPr>
          <w:rFonts w:ascii="Arial Narrow" w:hAnsi="Arial Narrow" w:cs="Calibri"/>
        </w:rPr>
      </w:pPr>
      <w:r w:rsidRPr="006A58C1">
        <w:rPr>
          <w:rFonts w:ascii="Arial Narrow" w:hAnsi="Arial Narrow" w:cs="Calibri"/>
        </w:rPr>
        <w:t xml:space="preserve">a) Urge NIH/NINDS to consider </w:t>
      </w:r>
      <w:r w:rsidR="00E14CFF" w:rsidRPr="006A58C1">
        <w:rPr>
          <w:rFonts w:ascii="Arial Narrow" w:hAnsi="Arial Narrow" w:cs="Calibri"/>
        </w:rPr>
        <w:t>m</w:t>
      </w:r>
      <w:r w:rsidR="00DD2BA7" w:rsidRPr="006A58C1">
        <w:rPr>
          <w:rFonts w:ascii="Arial Narrow" w:hAnsi="Arial Narrow" w:cs="Calibri"/>
        </w:rPr>
        <w:t>andating biospecimen collection while at the same time</w:t>
      </w:r>
      <w:r w:rsidR="00E14CFF" w:rsidRPr="006A58C1">
        <w:rPr>
          <w:rFonts w:ascii="Arial Narrow" w:hAnsi="Arial Narrow" w:cs="Calibri"/>
        </w:rPr>
        <w:t xml:space="preserve"> providing</w:t>
      </w:r>
      <w:r w:rsidRPr="006A58C1">
        <w:rPr>
          <w:rFonts w:ascii="Arial Narrow" w:hAnsi="Arial Narrow" w:cs="Calibri"/>
        </w:rPr>
        <w:t xml:space="preserve"> financial/logistical support</w:t>
      </w:r>
      <w:r w:rsidR="00E14CFF" w:rsidRPr="006A58C1">
        <w:rPr>
          <w:rFonts w:ascii="Arial Narrow" w:hAnsi="Arial Narrow" w:cs="Calibri"/>
        </w:rPr>
        <w:t xml:space="preserve"> </w:t>
      </w:r>
      <w:r w:rsidRPr="006A58C1">
        <w:rPr>
          <w:rFonts w:ascii="Arial Narrow" w:hAnsi="Arial Narrow" w:cs="Calibri"/>
        </w:rPr>
        <w:t>to establish protocols/platforms/facilities for biospecimen sample obtention, retention and analysis within MS studies</w:t>
      </w:r>
      <w:r w:rsidR="00C10309" w:rsidRPr="006A58C1">
        <w:rPr>
          <w:rFonts w:ascii="Arial Narrow" w:hAnsi="Arial Narrow" w:cs="Calibri"/>
        </w:rPr>
        <w:t>, including dissemination of this information to researchers</w:t>
      </w:r>
      <w:r w:rsidRPr="006A58C1">
        <w:rPr>
          <w:rFonts w:ascii="Arial Narrow" w:hAnsi="Arial Narrow" w:cs="Calibri"/>
        </w:rPr>
        <w:t>.</w:t>
      </w:r>
    </w:p>
    <w:p w:rsidR="00EC6594" w:rsidRPr="006A58C1" w:rsidRDefault="00EC6594" w:rsidP="006A58C1">
      <w:pPr>
        <w:spacing w:after="0"/>
        <w:rPr>
          <w:rFonts w:ascii="Arial Narrow" w:hAnsi="Arial Narrow" w:cs="Calibri"/>
        </w:rPr>
      </w:pPr>
    </w:p>
    <w:p w:rsidR="00EC6594" w:rsidRPr="006A58C1" w:rsidRDefault="00EC6594" w:rsidP="006A58C1">
      <w:pPr>
        <w:spacing w:after="0"/>
        <w:rPr>
          <w:rFonts w:ascii="Arial Narrow" w:hAnsi="Arial Narrow" w:cs="Calibri"/>
        </w:rPr>
      </w:pPr>
      <w:r w:rsidRPr="006A58C1">
        <w:rPr>
          <w:rFonts w:ascii="Arial Narrow" w:hAnsi="Arial Narrow" w:cs="Calibri"/>
        </w:rPr>
        <w:t xml:space="preserve">b) </w:t>
      </w:r>
      <w:r w:rsidR="00AE2896" w:rsidRPr="006A58C1">
        <w:rPr>
          <w:rFonts w:ascii="Arial Narrow" w:hAnsi="Arial Narrow" w:cs="Calibri"/>
        </w:rPr>
        <w:t>Request</w:t>
      </w:r>
      <w:r w:rsidRPr="006A58C1">
        <w:rPr>
          <w:rFonts w:ascii="Arial Narrow" w:hAnsi="Arial Narrow" w:cs="Calibri"/>
        </w:rPr>
        <w:t xml:space="preserve"> NIH/NINDS to establish a working group / workshop of relevant stakeholders to set the ground-rules for such an effort</w:t>
      </w:r>
      <w:r w:rsidR="00A7121A" w:rsidRPr="006A58C1">
        <w:rPr>
          <w:rFonts w:ascii="Arial Narrow" w:hAnsi="Arial Narrow" w:cs="Calibri"/>
        </w:rPr>
        <w:t xml:space="preserve">, such as </w:t>
      </w:r>
      <w:r w:rsidR="00C166D7" w:rsidRPr="006A58C1">
        <w:rPr>
          <w:rFonts w:ascii="Arial Narrow" w:hAnsi="Arial Narrow" w:cs="Calibri"/>
        </w:rPr>
        <w:t xml:space="preserve">the one </w:t>
      </w:r>
      <w:r w:rsidR="00A7121A" w:rsidRPr="006A58C1">
        <w:rPr>
          <w:rFonts w:ascii="Arial Narrow" w:hAnsi="Arial Narrow" w:cs="Calibri"/>
        </w:rPr>
        <w:t>established by BioMS</w:t>
      </w:r>
      <w:r w:rsidR="00A7121A" w:rsidRPr="006A58C1">
        <w:rPr>
          <w:rFonts w:ascii="Arial Narrow" w:hAnsi="Arial Narrow" w:cs="Calibri"/>
          <w:i/>
        </w:rPr>
        <w:t>eu</w:t>
      </w:r>
    </w:p>
    <w:p w:rsidR="00EC6594" w:rsidRPr="006A58C1" w:rsidRDefault="00EC6594" w:rsidP="006A58C1">
      <w:pPr>
        <w:spacing w:after="0"/>
        <w:rPr>
          <w:rFonts w:ascii="Arial Narrow" w:hAnsi="Arial Narrow" w:cs="Calibri"/>
        </w:rPr>
      </w:pPr>
    </w:p>
    <w:p w:rsidR="00EC6594" w:rsidRPr="006A58C1" w:rsidRDefault="00EC6594" w:rsidP="006A58C1">
      <w:pPr>
        <w:spacing w:after="0"/>
        <w:rPr>
          <w:rFonts w:ascii="Arial Narrow" w:hAnsi="Arial Narrow" w:cs="Calibri"/>
        </w:rPr>
      </w:pPr>
      <w:r w:rsidRPr="006A58C1">
        <w:rPr>
          <w:rFonts w:ascii="Arial Narrow" w:hAnsi="Arial Narrow" w:cs="Calibri"/>
        </w:rPr>
        <w:t xml:space="preserve">c) </w:t>
      </w:r>
      <w:r w:rsidR="00AE2896" w:rsidRPr="006A58C1">
        <w:rPr>
          <w:rFonts w:ascii="Arial Narrow" w:hAnsi="Arial Narrow" w:cs="Calibri"/>
        </w:rPr>
        <w:t>Publicize to</w:t>
      </w:r>
      <w:r w:rsidR="00875A23" w:rsidRPr="006A58C1">
        <w:rPr>
          <w:rFonts w:ascii="Arial Narrow" w:hAnsi="Arial Narrow" w:cs="Calibri"/>
        </w:rPr>
        <w:t xml:space="preserve"> </w:t>
      </w:r>
      <w:r w:rsidR="006A58C1">
        <w:rPr>
          <w:rFonts w:ascii="Arial Narrow" w:hAnsi="Arial Narrow" w:cs="Calibri"/>
        </w:rPr>
        <w:t>N</w:t>
      </w:r>
      <w:r w:rsidR="00875A23" w:rsidRPr="006A58C1">
        <w:rPr>
          <w:rFonts w:ascii="Arial Narrow" w:hAnsi="Arial Narrow" w:cs="Calibri"/>
        </w:rPr>
        <w:t>euromuscular</w:t>
      </w:r>
      <w:r w:rsidR="006A58C1">
        <w:rPr>
          <w:rFonts w:ascii="Arial Narrow" w:hAnsi="Arial Narrow" w:cs="Calibri"/>
        </w:rPr>
        <w:t xml:space="preserve"> diseases </w:t>
      </w:r>
      <w:r w:rsidRPr="006A58C1">
        <w:rPr>
          <w:rFonts w:ascii="Arial Narrow" w:hAnsi="Arial Narrow" w:cs="Calibri"/>
        </w:rPr>
        <w:t xml:space="preserve">investigators </w:t>
      </w:r>
      <w:r w:rsidR="00AE2896" w:rsidRPr="006A58C1">
        <w:rPr>
          <w:rFonts w:ascii="Arial Narrow" w:hAnsi="Arial Narrow" w:cs="Calibri"/>
        </w:rPr>
        <w:t>the importance of</w:t>
      </w:r>
      <w:r w:rsidRPr="006A58C1">
        <w:rPr>
          <w:rFonts w:ascii="Arial Narrow" w:hAnsi="Arial Narrow" w:cs="Calibri"/>
        </w:rPr>
        <w:t xml:space="preserve"> consider</w:t>
      </w:r>
      <w:r w:rsidR="00AE2896" w:rsidRPr="006A58C1">
        <w:rPr>
          <w:rFonts w:ascii="Arial Narrow" w:hAnsi="Arial Narrow" w:cs="Calibri"/>
        </w:rPr>
        <w:t>ing</w:t>
      </w:r>
      <w:r w:rsidRPr="006A58C1">
        <w:rPr>
          <w:rFonts w:ascii="Arial Narrow" w:hAnsi="Arial Narrow" w:cs="Calibri"/>
        </w:rPr>
        <w:t xml:space="preserve"> relevant questions to pose in clinical trials that would require and use biospecimen data to enhance understanding of underlying disease course and prognosis as well as treatment-response biomarkers.</w:t>
      </w:r>
    </w:p>
    <w:p w:rsidR="00610CB2" w:rsidRPr="006A58C1" w:rsidRDefault="00610CB2" w:rsidP="006A58C1">
      <w:pPr>
        <w:spacing w:after="0"/>
        <w:rPr>
          <w:rFonts w:ascii="Arial Narrow" w:hAnsi="Arial Narrow" w:cs="Calibri"/>
        </w:rPr>
      </w:pPr>
    </w:p>
    <w:p w:rsidR="00A7121A" w:rsidRPr="006A58C1" w:rsidRDefault="00A7121A" w:rsidP="006A58C1">
      <w:pPr>
        <w:spacing w:after="0"/>
        <w:rPr>
          <w:rFonts w:ascii="Arial Narrow" w:hAnsi="Arial Narrow" w:cs="Calibri"/>
        </w:rPr>
      </w:pPr>
      <w:r w:rsidRPr="006A58C1">
        <w:rPr>
          <w:rFonts w:ascii="Arial Narrow" w:hAnsi="Arial Narrow" w:cs="Calibri"/>
        </w:rPr>
        <w:t>d) In the absence of universal guidance, investigators should adhere to already established collection, storage and analytic protocols</w:t>
      </w:r>
      <w:r w:rsidR="00E14CFF" w:rsidRPr="006A58C1">
        <w:rPr>
          <w:rFonts w:ascii="Arial Narrow" w:hAnsi="Arial Narrow" w:cs="Calibri"/>
        </w:rPr>
        <w:t xml:space="preserve"> (such as ITN, BioMS</w:t>
      </w:r>
      <w:r w:rsidR="00DD2BA7" w:rsidRPr="006A58C1">
        <w:rPr>
          <w:rFonts w:ascii="Arial Narrow" w:hAnsi="Arial Narrow" w:cs="Calibri"/>
          <w:i/>
        </w:rPr>
        <w:t xml:space="preserve">eu, </w:t>
      </w:r>
      <w:r w:rsidR="00DD2BA7" w:rsidRPr="006A58C1">
        <w:rPr>
          <w:rFonts w:ascii="Arial Narrow" w:hAnsi="Arial Narrow" w:cs="Calibri"/>
        </w:rPr>
        <w:t>BioMS/CombiRx</w:t>
      </w:r>
      <w:r w:rsidR="00E14CFF" w:rsidRPr="006A58C1">
        <w:rPr>
          <w:rFonts w:ascii="Arial Narrow" w:hAnsi="Arial Narrow" w:cs="Calibri"/>
        </w:rPr>
        <w:t>)</w:t>
      </w:r>
      <w:r w:rsidRPr="006A58C1">
        <w:rPr>
          <w:rFonts w:ascii="Arial Narrow" w:hAnsi="Arial Narrow" w:cs="Calibri"/>
        </w:rPr>
        <w:t xml:space="preserve"> in an attempt to harmonize data </w:t>
      </w:r>
      <w:r w:rsidR="00E14CFF" w:rsidRPr="006A58C1">
        <w:rPr>
          <w:rFonts w:ascii="Arial Narrow" w:hAnsi="Arial Narrow" w:cs="Calibri"/>
        </w:rPr>
        <w:t xml:space="preserve">collection </w:t>
      </w:r>
      <w:r w:rsidRPr="006A58C1">
        <w:rPr>
          <w:rFonts w:ascii="Arial Narrow" w:hAnsi="Arial Narrow" w:cs="Calibri"/>
        </w:rPr>
        <w:t xml:space="preserve">while assuring quality control </w:t>
      </w:r>
      <w:r w:rsidR="00E14CFF" w:rsidRPr="006A58C1">
        <w:rPr>
          <w:rFonts w:ascii="Arial Narrow" w:hAnsi="Arial Narrow" w:cs="Calibri"/>
        </w:rPr>
        <w:t>thus</w:t>
      </w:r>
      <w:r w:rsidRPr="006A58C1">
        <w:rPr>
          <w:rFonts w:ascii="Arial Narrow" w:hAnsi="Arial Narrow" w:cs="Calibri"/>
        </w:rPr>
        <w:t xml:space="preserve"> potentially allow</w:t>
      </w:r>
      <w:r w:rsidR="00E14CFF" w:rsidRPr="006A58C1">
        <w:rPr>
          <w:rFonts w:ascii="Arial Narrow" w:hAnsi="Arial Narrow" w:cs="Calibri"/>
        </w:rPr>
        <w:t>ing</w:t>
      </w:r>
      <w:r w:rsidRPr="006A58C1">
        <w:rPr>
          <w:rFonts w:ascii="Arial Narrow" w:hAnsi="Arial Narrow" w:cs="Calibri"/>
        </w:rPr>
        <w:t xml:space="preserve"> for pooling of data and cross-study comparisons</w:t>
      </w:r>
    </w:p>
    <w:p w:rsidR="00C166D7" w:rsidRPr="006A58C1" w:rsidRDefault="00C166D7" w:rsidP="006A58C1">
      <w:pPr>
        <w:spacing w:after="0"/>
        <w:rPr>
          <w:rFonts w:ascii="Arial Narrow" w:hAnsi="Arial Narrow" w:cs="Calibri"/>
        </w:rPr>
      </w:pPr>
    </w:p>
    <w:p w:rsidR="00C166D7" w:rsidRPr="006A58C1" w:rsidRDefault="00335962" w:rsidP="006A58C1">
      <w:pPr>
        <w:spacing w:after="0"/>
        <w:rPr>
          <w:rFonts w:ascii="Arial Narrow" w:hAnsi="Arial Narrow" w:cs="Calibri"/>
        </w:rPr>
      </w:pPr>
      <w:r w:rsidRPr="006A58C1">
        <w:rPr>
          <w:rFonts w:ascii="Arial Narrow" w:hAnsi="Arial Narrow" w:cs="Calibri"/>
        </w:rPr>
        <w:t>e</w:t>
      </w:r>
      <w:r w:rsidR="00F36094" w:rsidRPr="006A58C1">
        <w:rPr>
          <w:rFonts w:ascii="Arial Narrow" w:hAnsi="Arial Narrow" w:cs="Calibri"/>
        </w:rPr>
        <w:t>) As a minimalist first step, encour</w:t>
      </w:r>
      <w:r w:rsidR="00875A23" w:rsidRPr="006A58C1">
        <w:rPr>
          <w:rFonts w:ascii="Arial Narrow" w:hAnsi="Arial Narrow" w:cs="Calibri"/>
        </w:rPr>
        <w:t>age all those responsible for Neuromuscular</w:t>
      </w:r>
      <w:r w:rsidR="00F36094" w:rsidRPr="006A58C1">
        <w:rPr>
          <w:rFonts w:ascii="Arial Narrow" w:hAnsi="Arial Narrow" w:cs="Calibri"/>
        </w:rPr>
        <w:t xml:space="preserve"> </w:t>
      </w:r>
      <w:r w:rsidR="006A58C1">
        <w:rPr>
          <w:rFonts w:ascii="Arial Narrow" w:hAnsi="Arial Narrow" w:cs="Calibri"/>
        </w:rPr>
        <w:t xml:space="preserve">diseases </w:t>
      </w:r>
      <w:r w:rsidR="00F36094" w:rsidRPr="006A58C1">
        <w:rPr>
          <w:rFonts w:ascii="Arial Narrow" w:hAnsi="Arial Narrow" w:cs="Calibri"/>
        </w:rPr>
        <w:t>clinical trials to include collection of DNA samples, with broad consent (including use of samples in future by appropriate 3</w:t>
      </w:r>
      <w:r w:rsidR="00F36094" w:rsidRPr="006A58C1">
        <w:rPr>
          <w:rFonts w:ascii="Arial Narrow" w:hAnsi="Arial Narrow" w:cs="Calibri"/>
          <w:vertAlign w:val="superscript"/>
        </w:rPr>
        <w:t>rd</w:t>
      </w:r>
      <w:r w:rsidR="00F36094" w:rsidRPr="006A58C1">
        <w:rPr>
          <w:rFonts w:ascii="Arial Narrow" w:hAnsi="Arial Narrow" w:cs="Calibri"/>
        </w:rPr>
        <w:t xml:space="preserve"> parties) to allow the conduct of important disease-related research in future</w:t>
      </w:r>
      <w:r w:rsidR="00DD2BA7" w:rsidRPr="006A58C1">
        <w:rPr>
          <w:rFonts w:ascii="Arial Narrow" w:hAnsi="Arial Narrow" w:cs="Calibri"/>
        </w:rPr>
        <w:t>, even</w:t>
      </w:r>
      <w:r w:rsidR="00F36094" w:rsidRPr="006A58C1">
        <w:rPr>
          <w:rFonts w:ascii="Arial Narrow" w:hAnsi="Arial Narrow" w:cs="Calibri"/>
        </w:rPr>
        <w:t xml:space="preserve"> if not as part of the specific study. Linking sufficient biographic, demographic and disease characteristics data with the samples is essential. Institutes such as Coriell and potentially ITN </w:t>
      </w:r>
      <w:r w:rsidR="00BC7024" w:rsidRPr="006A58C1">
        <w:rPr>
          <w:rFonts w:ascii="Arial Narrow" w:hAnsi="Arial Narrow" w:cs="Calibri"/>
        </w:rPr>
        <w:t>(</w:t>
      </w:r>
      <w:r w:rsidR="002B44FF" w:rsidRPr="006A58C1">
        <w:rPr>
          <w:rFonts w:ascii="Arial Narrow" w:hAnsi="Arial Narrow" w:cs="Calibri"/>
        </w:rPr>
        <w:t xml:space="preserve">both </w:t>
      </w:r>
      <w:r w:rsidR="00BC7024" w:rsidRPr="006A58C1">
        <w:rPr>
          <w:rFonts w:ascii="Arial Narrow" w:hAnsi="Arial Narrow" w:cs="Calibri"/>
        </w:rPr>
        <w:t xml:space="preserve">cited </w:t>
      </w:r>
      <w:r w:rsidR="00F36094" w:rsidRPr="006A58C1">
        <w:rPr>
          <w:rFonts w:ascii="Arial Narrow" w:hAnsi="Arial Narrow" w:cs="Calibri"/>
        </w:rPr>
        <w:t>above</w:t>
      </w:r>
      <w:r w:rsidR="00BC7024" w:rsidRPr="006A58C1">
        <w:rPr>
          <w:rFonts w:ascii="Arial Narrow" w:hAnsi="Arial Narrow" w:cs="Calibri"/>
        </w:rPr>
        <w:t>)</w:t>
      </w:r>
      <w:r w:rsidR="00F36094" w:rsidRPr="006A58C1">
        <w:rPr>
          <w:rFonts w:ascii="Arial Narrow" w:hAnsi="Arial Narrow" w:cs="Calibri"/>
        </w:rPr>
        <w:t>, could facilitate storage of samples.</w:t>
      </w:r>
    </w:p>
    <w:p w:rsidR="00DB4E5A" w:rsidRPr="006A58C1" w:rsidRDefault="00DB4E5A" w:rsidP="006A58C1">
      <w:pPr>
        <w:spacing w:after="0"/>
        <w:rPr>
          <w:rFonts w:ascii="Arial Narrow" w:hAnsi="Arial Narrow" w:cs="Calibri"/>
        </w:rPr>
      </w:pPr>
    </w:p>
    <w:p w:rsidR="00DB4E5A" w:rsidRPr="006A58C1" w:rsidRDefault="00DB4E5A" w:rsidP="006A58C1">
      <w:pPr>
        <w:spacing w:after="0"/>
        <w:rPr>
          <w:rFonts w:ascii="Arial Narrow" w:hAnsi="Arial Narrow" w:cs="Calibri"/>
        </w:rPr>
      </w:pPr>
      <w:r w:rsidRPr="006A58C1">
        <w:rPr>
          <w:rFonts w:ascii="Arial Narrow" w:hAnsi="Arial Narrow" w:cs="Calibri"/>
        </w:rPr>
        <w:t xml:space="preserve">f) No recommendations can be given regarding soluble/cellular biomarker testing to conduct given that no biomarker for disease course or treatment response is currently </w:t>
      </w:r>
      <w:r w:rsidR="008326D4" w:rsidRPr="006A58C1">
        <w:rPr>
          <w:rFonts w:ascii="Arial Narrow" w:hAnsi="Arial Narrow" w:cs="Calibri"/>
        </w:rPr>
        <w:t>validated</w:t>
      </w:r>
      <w:r w:rsidRPr="006A58C1">
        <w:rPr>
          <w:rFonts w:ascii="Arial Narrow" w:hAnsi="Arial Narrow" w:cs="Calibri"/>
        </w:rPr>
        <w:t>.</w:t>
      </w:r>
    </w:p>
    <w:p w:rsidR="00A7121A" w:rsidRPr="006A58C1" w:rsidRDefault="00A7121A" w:rsidP="006A58C1">
      <w:pPr>
        <w:spacing w:after="0"/>
        <w:rPr>
          <w:rFonts w:ascii="Arial Narrow" w:hAnsi="Arial Narrow" w:cs="Calibri"/>
        </w:rPr>
      </w:pPr>
    </w:p>
    <w:p w:rsidR="00610CB2" w:rsidRPr="006A58C1" w:rsidRDefault="00DB4E5A" w:rsidP="006A58C1">
      <w:pPr>
        <w:spacing w:after="0"/>
        <w:rPr>
          <w:rFonts w:ascii="Arial Narrow" w:hAnsi="Arial Narrow" w:cs="Calibri"/>
        </w:rPr>
      </w:pPr>
      <w:r w:rsidRPr="006A58C1">
        <w:rPr>
          <w:rFonts w:ascii="Arial Narrow" w:hAnsi="Arial Narrow" w:cs="Calibri"/>
        </w:rPr>
        <w:t>g</w:t>
      </w:r>
      <w:r w:rsidR="00610CB2" w:rsidRPr="006A58C1">
        <w:rPr>
          <w:rFonts w:ascii="Arial Narrow" w:hAnsi="Arial Narrow" w:cs="Calibri"/>
        </w:rPr>
        <w:t xml:space="preserve">) </w:t>
      </w:r>
      <w:r w:rsidR="00DD2BA7" w:rsidRPr="006A58C1">
        <w:rPr>
          <w:rFonts w:ascii="Arial Narrow" w:hAnsi="Arial Narrow" w:cs="Calibri"/>
        </w:rPr>
        <w:t>T</w:t>
      </w:r>
      <w:r w:rsidR="00A7121A" w:rsidRPr="006A58C1">
        <w:rPr>
          <w:rFonts w:ascii="Arial Narrow" w:hAnsi="Arial Narrow" w:cs="Calibri"/>
        </w:rPr>
        <w:t xml:space="preserve">he </w:t>
      </w:r>
      <w:r w:rsidR="00610CB2" w:rsidRPr="006A58C1">
        <w:rPr>
          <w:rFonts w:ascii="Arial Narrow" w:hAnsi="Arial Narrow" w:cs="Calibri"/>
        </w:rPr>
        <w:t xml:space="preserve">initial focus of biomarker work </w:t>
      </w:r>
      <w:r w:rsidRPr="006A58C1">
        <w:rPr>
          <w:rFonts w:ascii="Arial Narrow" w:hAnsi="Arial Narrow" w:cs="Calibri"/>
        </w:rPr>
        <w:t>may best</w:t>
      </w:r>
      <w:r w:rsidR="00DD2BA7" w:rsidRPr="006A58C1">
        <w:rPr>
          <w:rFonts w:ascii="Arial Narrow" w:hAnsi="Arial Narrow" w:cs="Calibri"/>
        </w:rPr>
        <w:t xml:space="preserve"> be </w:t>
      </w:r>
      <w:r w:rsidRPr="006A58C1">
        <w:rPr>
          <w:rFonts w:ascii="Arial Narrow" w:hAnsi="Arial Narrow" w:cs="Calibri"/>
        </w:rPr>
        <w:t>directed to</w:t>
      </w:r>
      <w:r w:rsidR="00610CB2" w:rsidRPr="006A58C1">
        <w:rPr>
          <w:rFonts w:ascii="Arial Narrow" w:hAnsi="Arial Narrow" w:cs="Calibri"/>
        </w:rPr>
        <w:t xml:space="preserve"> Phase 1 and Phase 2 studies </w:t>
      </w:r>
      <w:r w:rsidR="00AE2896" w:rsidRPr="006A58C1">
        <w:rPr>
          <w:rFonts w:ascii="Arial Narrow" w:hAnsi="Arial Narrow" w:cs="Calibri"/>
        </w:rPr>
        <w:t xml:space="preserve">as this </w:t>
      </w:r>
      <w:r w:rsidR="00610CB2" w:rsidRPr="006A58C1">
        <w:rPr>
          <w:rFonts w:ascii="Arial Narrow" w:hAnsi="Arial Narrow" w:cs="Calibri"/>
        </w:rPr>
        <w:t>may be more feasible</w:t>
      </w:r>
      <w:r w:rsidRPr="006A58C1">
        <w:rPr>
          <w:rFonts w:ascii="Arial Narrow" w:hAnsi="Arial Narrow" w:cs="Calibri"/>
        </w:rPr>
        <w:t>, allow more in-depth testing</w:t>
      </w:r>
      <w:r w:rsidR="00610CB2" w:rsidRPr="006A58C1">
        <w:rPr>
          <w:rFonts w:ascii="Arial Narrow" w:hAnsi="Arial Narrow" w:cs="Calibri"/>
        </w:rPr>
        <w:t xml:space="preserve"> and lead to initial progress that could facilitate broader progress in the field subsequently</w:t>
      </w:r>
      <w:r w:rsidRPr="006A58C1">
        <w:rPr>
          <w:rFonts w:ascii="Arial Narrow" w:hAnsi="Arial Narrow" w:cs="Calibri"/>
        </w:rPr>
        <w:t>. Ultimately however, validation will require assessment in large-scale, likely pooled, data sets.</w:t>
      </w:r>
    </w:p>
    <w:p w:rsidR="00473372" w:rsidRPr="006A58C1" w:rsidRDefault="00473372" w:rsidP="006A58C1">
      <w:pPr>
        <w:spacing w:after="0"/>
        <w:rPr>
          <w:rFonts w:ascii="Arial Narrow" w:hAnsi="Arial Narrow" w:cs="Calibri"/>
          <w:b/>
        </w:rPr>
      </w:pPr>
      <w:r w:rsidRPr="006A58C1">
        <w:rPr>
          <w:rFonts w:ascii="Arial Narrow" w:hAnsi="Arial Narrow" w:cs="Calibri"/>
        </w:rPr>
        <w:br w:type="page"/>
      </w:r>
      <w:r w:rsidRPr="006A58C1">
        <w:rPr>
          <w:rFonts w:ascii="Arial Narrow" w:hAnsi="Arial Narrow" w:cs="Calibri"/>
          <w:b/>
        </w:rPr>
        <w:lastRenderedPageBreak/>
        <w:t>Appendix A – Biospecimen Samples</w:t>
      </w:r>
    </w:p>
    <w:p w:rsidR="00473372" w:rsidRPr="009367C4" w:rsidRDefault="00473372" w:rsidP="00846308">
      <w:pPr>
        <w:spacing w:after="0" w:line="240" w:lineRule="auto"/>
        <w:rPr>
          <w:rFonts w:cs="Calibri"/>
        </w:rPr>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900"/>
        <w:gridCol w:w="236"/>
        <w:gridCol w:w="2788"/>
        <w:gridCol w:w="1998"/>
      </w:tblGrid>
      <w:tr w:rsidR="00634A90" w:rsidRPr="009367C4" w:rsidTr="00634A90">
        <w:trPr>
          <w:cantSplit/>
          <w:trHeight w:val="315"/>
        </w:trPr>
        <w:tc>
          <w:tcPr>
            <w:tcW w:w="4461" w:type="dxa"/>
            <w:gridSpan w:val="2"/>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b/>
                <w:color w:val="000000"/>
              </w:rPr>
            </w:pPr>
            <w:r w:rsidRPr="006A58C1">
              <w:rPr>
                <w:rFonts w:ascii="Arial Narrow" w:eastAsia="Times New Roman" w:hAnsi="Arial Narrow" w:cs="Calibri"/>
                <w:b/>
                <w:color w:val="000000"/>
              </w:rPr>
              <w:t>Utility Rating</w:t>
            </w:r>
          </w:p>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b/>
                <w:color w:val="000000"/>
              </w:rPr>
              <w:t>1=greatest utility and 3=least utility</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b/>
                <w:color w:val="000000"/>
              </w:rPr>
            </w:pPr>
          </w:p>
        </w:tc>
        <w:tc>
          <w:tcPr>
            <w:tcW w:w="4786" w:type="dxa"/>
            <w:gridSpan w:val="2"/>
          </w:tcPr>
          <w:p w:rsidR="00634A90" w:rsidRPr="006A58C1" w:rsidRDefault="00634A90" w:rsidP="00846308">
            <w:pPr>
              <w:spacing w:after="0" w:line="240" w:lineRule="auto"/>
              <w:rPr>
                <w:rFonts w:ascii="Arial Narrow" w:eastAsia="Times New Roman" w:hAnsi="Arial Narrow" w:cs="Calibri"/>
                <w:b/>
                <w:color w:val="000000"/>
              </w:rPr>
            </w:pPr>
            <w:r w:rsidRPr="006A58C1">
              <w:rPr>
                <w:rFonts w:ascii="Arial Narrow" w:eastAsia="Times New Roman" w:hAnsi="Arial Narrow" w:cs="Calibri"/>
                <w:b/>
                <w:color w:val="000000"/>
              </w:rPr>
              <w:t>Feasibility Rating</w:t>
            </w:r>
          </w:p>
          <w:p w:rsidR="00634A90" w:rsidRPr="006A58C1" w:rsidRDefault="00634A90" w:rsidP="00846308">
            <w:pPr>
              <w:spacing w:after="0" w:line="240" w:lineRule="auto"/>
              <w:rPr>
                <w:rFonts w:ascii="Arial Narrow" w:eastAsia="Times New Roman" w:hAnsi="Arial Narrow" w:cs="Calibri"/>
                <w:b/>
                <w:color w:val="000000"/>
              </w:rPr>
            </w:pPr>
            <w:r w:rsidRPr="006A58C1">
              <w:rPr>
                <w:rFonts w:ascii="Arial Narrow" w:eastAsia="Times New Roman" w:hAnsi="Arial Narrow" w:cs="Calibri"/>
                <w:b/>
                <w:color w:val="000000"/>
              </w:rPr>
              <w:t>1=most feasible and 3=least feasible</w:t>
            </w:r>
          </w:p>
        </w:tc>
      </w:tr>
      <w:tr w:rsidR="00634A90" w:rsidRPr="009367C4" w:rsidTr="00634A90">
        <w:trPr>
          <w:cantSplit/>
          <w:trHeight w:val="315"/>
        </w:trPr>
        <w:tc>
          <w:tcPr>
            <w:tcW w:w="2561" w:type="dxa"/>
            <w:shd w:val="clear" w:color="000000" w:fill="969696"/>
            <w:noWrap/>
            <w:vAlign w:val="bottom"/>
            <w:hideMark/>
          </w:tcPr>
          <w:p w:rsidR="00634A90" w:rsidRPr="006A58C1" w:rsidRDefault="00634A90" w:rsidP="00846308">
            <w:pPr>
              <w:spacing w:after="0" w:line="240" w:lineRule="auto"/>
              <w:rPr>
                <w:rFonts w:ascii="Arial Narrow" w:eastAsia="Times New Roman" w:hAnsi="Arial Narrow" w:cs="Calibri"/>
                <w:b/>
                <w:bCs/>
                <w:color w:val="000000"/>
              </w:rPr>
            </w:pPr>
            <w:r w:rsidRPr="006A58C1">
              <w:rPr>
                <w:rFonts w:ascii="Arial Narrow" w:eastAsia="Times New Roman" w:hAnsi="Arial Narrow" w:cs="Calibri"/>
                <w:b/>
                <w:bCs/>
                <w:color w:val="000000"/>
              </w:rPr>
              <w:t>Specimen Type</w:t>
            </w:r>
          </w:p>
        </w:tc>
        <w:tc>
          <w:tcPr>
            <w:tcW w:w="1900" w:type="dxa"/>
            <w:shd w:val="clear" w:color="000000" w:fill="1FB714"/>
            <w:vAlign w:val="bottom"/>
            <w:hideMark/>
          </w:tcPr>
          <w:p w:rsidR="00634A90" w:rsidRPr="006A58C1" w:rsidRDefault="00634A90" w:rsidP="00846308">
            <w:pPr>
              <w:spacing w:after="0" w:line="240" w:lineRule="auto"/>
              <w:rPr>
                <w:rFonts w:ascii="Arial Narrow" w:eastAsia="Times New Roman" w:hAnsi="Arial Narrow" w:cs="Calibri"/>
                <w:b/>
                <w:bCs/>
                <w:color w:val="000000"/>
              </w:rPr>
            </w:pPr>
            <w:r w:rsidRPr="006A58C1">
              <w:rPr>
                <w:rFonts w:ascii="Arial Narrow" w:eastAsia="Times New Roman" w:hAnsi="Arial Narrow" w:cs="Calibri"/>
                <w:b/>
                <w:bCs/>
                <w:color w:val="000000"/>
              </w:rPr>
              <w:t>Average</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b/>
                <w:bCs/>
                <w:color w:val="000000"/>
              </w:rPr>
            </w:pPr>
          </w:p>
        </w:tc>
        <w:tc>
          <w:tcPr>
            <w:tcW w:w="2788" w:type="dxa"/>
            <w:shd w:val="clear" w:color="000000" w:fill="1FB714"/>
            <w:vAlign w:val="bottom"/>
          </w:tcPr>
          <w:p w:rsidR="00634A90" w:rsidRPr="006A58C1" w:rsidRDefault="00634A90" w:rsidP="00846308">
            <w:pPr>
              <w:spacing w:after="0" w:line="240" w:lineRule="auto"/>
              <w:rPr>
                <w:rFonts w:ascii="Arial Narrow" w:eastAsia="Times New Roman" w:hAnsi="Arial Narrow" w:cs="Calibri"/>
                <w:b/>
                <w:bCs/>
                <w:color w:val="000000"/>
              </w:rPr>
            </w:pPr>
            <w:r w:rsidRPr="006A58C1">
              <w:rPr>
                <w:rFonts w:ascii="Arial Narrow" w:eastAsia="Times New Roman" w:hAnsi="Arial Narrow" w:cs="Calibri"/>
                <w:b/>
                <w:bCs/>
                <w:color w:val="000000"/>
              </w:rPr>
              <w:t>Specimen Type</w:t>
            </w:r>
          </w:p>
        </w:tc>
        <w:tc>
          <w:tcPr>
            <w:tcW w:w="1998" w:type="dxa"/>
            <w:shd w:val="clear" w:color="000000" w:fill="1FB714"/>
            <w:vAlign w:val="bottom"/>
          </w:tcPr>
          <w:p w:rsidR="00634A90" w:rsidRPr="006A58C1" w:rsidRDefault="00634A90" w:rsidP="00846308">
            <w:pPr>
              <w:spacing w:after="0" w:line="240" w:lineRule="auto"/>
              <w:rPr>
                <w:rFonts w:ascii="Arial Narrow" w:eastAsia="Times New Roman" w:hAnsi="Arial Narrow" w:cs="Calibri"/>
                <w:b/>
                <w:bCs/>
                <w:color w:val="000000"/>
              </w:rPr>
            </w:pPr>
            <w:r w:rsidRPr="006A58C1">
              <w:rPr>
                <w:rFonts w:ascii="Arial Narrow" w:eastAsia="Times New Roman" w:hAnsi="Arial Narrow" w:cs="Calibri"/>
                <w:b/>
                <w:bCs/>
                <w:color w:val="000000"/>
              </w:rPr>
              <w:t>Average</w:t>
            </w:r>
          </w:p>
        </w:tc>
      </w:tr>
      <w:tr w:rsidR="00634A90" w:rsidRPr="009367C4" w:rsidTr="00634A90">
        <w:trPr>
          <w:cantSplit/>
          <w:trHeight w:val="300"/>
        </w:trPr>
        <w:tc>
          <w:tcPr>
            <w:tcW w:w="2561"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Serum</w:t>
            </w:r>
          </w:p>
        </w:tc>
        <w:tc>
          <w:tcPr>
            <w:tcW w:w="1900"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1.0</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Serum</w:t>
            </w:r>
          </w:p>
        </w:tc>
        <w:tc>
          <w:tcPr>
            <w:tcW w:w="199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1.0</w:t>
            </w:r>
          </w:p>
        </w:tc>
      </w:tr>
      <w:tr w:rsidR="00634A90" w:rsidRPr="009367C4" w:rsidTr="00634A90">
        <w:trPr>
          <w:cantSplit/>
          <w:trHeight w:val="300"/>
        </w:trPr>
        <w:tc>
          <w:tcPr>
            <w:tcW w:w="2561"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Plasma</w:t>
            </w:r>
          </w:p>
        </w:tc>
        <w:tc>
          <w:tcPr>
            <w:tcW w:w="1900"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Plasma</w:t>
            </w:r>
          </w:p>
        </w:tc>
        <w:tc>
          <w:tcPr>
            <w:tcW w:w="199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1.2</w:t>
            </w:r>
          </w:p>
        </w:tc>
      </w:tr>
      <w:tr w:rsidR="00634A90" w:rsidRPr="009367C4" w:rsidTr="00634A90">
        <w:trPr>
          <w:cantSplit/>
          <w:trHeight w:val="300"/>
        </w:trPr>
        <w:tc>
          <w:tcPr>
            <w:tcW w:w="2561"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PBMC</w:t>
            </w:r>
          </w:p>
        </w:tc>
        <w:tc>
          <w:tcPr>
            <w:tcW w:w="1900"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Whole Blood</w:t>
            </w:r>
          </w:p>
        </w:tc>
        <w:tc>
          <w:tcPr>
            <w:tcW w:w="199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1.2</w:t>
            </w:r>
          </w:p>
        </w:tc>
      </w:tr>
      <w:tr w:rsidR="00634A90" w:rsidRPr="009367C4" w:rsidTr="00634A90">
        <w:trPr>
          <w:cantSplit/>
          <w:trHeight w:val="300"/>
        </w:trPr>
        <w:tc>
          <w:tcPr>
            <w:tcW w:w="2561"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Whole Blood</w:t>
            </w:r>
          </w:p>
        </w:tc>
        <w:tc>
          <w:tcPr>
            <w:tcW w:w="1900"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PBMC</w:t>
            </w:r>
          </w:p>
        </w:tc>
        <w:tc>
          <w:tcPr>
            <w:tcW w:w="199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1.3</w:t>
            </w:r>
          </w:p>
        </w:tc>
      </w:tr>
      <w:tr w:rsidR="00634A90" w:rsidRPr="009367C4" w:rsidTr="00634A90">
        <w:trPr>
          <w:cantSplit/>
          <w:trHeight w:val="300"/>
        </w:trPr>
        <w:tc>
          <w:tcPr>
            <w:tcW w:w="2561"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CSF*</w:t>
            </w:r>
          </w:p>
        </w:tc>
        <w:tc>
          <w:tcPr>
            <w:tcW w:w="1900" w:type="dxa"/>
            <w:shd w:val="clear" w:color="000000" w:fill="D8E4BC"/>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Whole Blood (ABI Tempus tubes - RNA)</w:t>
            </w:r>
          </w:p>
        </w:tc>
        <w:tc>
          <w:tcPr>
            <w:tcW w:w="1998" w:type="dxa"/>
            <w:shd w:val="clear" w:color="000000" w:fill="D8E4BC"/>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1.3</w:t>
            </w:r>
          </w:p>
        </w:tc>
      </w:tr>
      <w:tr w:rsidR="00634A90" w:rsidRPr="009367C4" w:rsidTr="00634A90">
        <w:trPr>
          <w:cantSplit/>
          <w:trHeight w:val="300"/>
        </w:trPr>
        <w:tc>
          <w:tcPr>
            <w:tcW w:w="2561" w:type="dxa"/>
            <w:shd w:val="clear" w:color="000000" w:fill="FCD5B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CSF cells*</w:t>
            </w:r>
          </w:p>
        </w:tc>
        <w:tc>
          <w:tcPr>
            <w:tcW w:w="1900" w:type="dxa"/>
            <w:shd w:val="clear" w:color="000000" w:fill="FCD5B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1.5</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FCD5B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Urine</w:t>
            </w:r>
          </w:p>
        </w:tc>
        <w:tc>
          <w:tcPr>
            <w:tcW w:w="1998" w:type="dxa"/>
            <w:shd w:val="clear" w:color="000000" w:fill="FCD5B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1.8</w:t>
            </w:r>
          </w:p>
        </w:tc>
      </w:tr>
      <w:tr w:rsidR="00634A90" w:rsidRPr="009367C4" w:rsidTr="00634A90">
        <w:trPr>
          <w:cantSplit/>
          <w:trHeight w:val="600"/>
        </w:trPr>
        <w:tc>
          <w:tcPr>
            <w:tcW w:w="2561" w:type="dxa"/>
            <w:shd w:val="clear" w:color="000000" w:fill="FCD5B4"/>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Whole Blood (ABI Tempus tubes - RNA)</w:t>
            </w:r>
          </w:p>
        </w:tc>
        <w:tc>
          <w:tcPr>
            <w:tcW w:w="1900" w:type="dxa"/>
            <w:shd w:val="clear" w:color="000000" w:fill="FCD5B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1.5</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FCD5B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CSF*</w:t>
            </w:r>
          </w:p>
        </w:tc>
        <w:tc>
          <w:tcPr>
            <w:tcW w:w="1998" w:type="dxa"/>
            <w:shd w:val="clear" w:color="000000" w:fill="FCD5B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2.0</w:t>
            </w:r>
          </w:p>
        </w:tc>
      </w:tr>
      <w:tr w:rsidR="00634A90" w:rsidRPr="009367C4" w:rsidTr="00634A90">
        <w:trPr>
          <w:cantSplit/>
          <w:trHeight w:val="300"/>
        </w:trPr>
        <w:tc>
          <w:tcPr>
            <w:tcW w:w="2561" w:type="dxa"/>
            <w:shd w:val="clear" w:color="000000" w:fill="FCD5B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Tissue - Autopsy</w:t>
            </w:r>
          </w:p>
        </w:tc>
        <w:tc>
          <w:tcPr>
            <w:tcW w:w="1900" w:type="dxa"/>
            <w:shd w:val="clear" w:color="000000" w:fill="FCD5B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1.7</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FCD5B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CSF cells*</w:t>
            </w:r>
          </w:p>
        </w:tc>
        <w:tc>
          <w:tcPr>
            <w:tcW w:w="1998" w:type="dxa"/>
            <w:shd w:val="clear" w:color="000000" w:fill="FCD5B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2.3</w:t>
            </w:r>
          </w:p>
        </w:tc>
      </w:tr>
      <w:tr w:rsidR="00634A90" w:rsidRPr="009367C4" w:rsidTr="00634A90">
        <w:trPr>
          <w:cantSplit/>
          <w:trHeight w:val="300"/>
        </w:trPr>
        <w:tc>
          <w:tcPr>
            <w:tcW w:w="2561"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FACS</w:t>
            </w:r>
          </w:p>
        </w:tc>
        <w:tc>
          <w:tcPr>
            <w:tcW w:w="1900"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2.0</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Tissue - Autopsy</w:t>
            </w:r>
          </w:p>
        </w:tc>
        <w:tc>
          <w:tcPr>
            <w:tcW w:w="199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2.3</w:t>
            </w:r>
          </w:p>
        </w:tc>
      </w:tr>
      <w:tr w:rsidR="00634A90" w:rsidRPr="009367C4" w:rsidTr="00634A90">
        <w:trPr>
          <w:cantSplit/>
          <w:trHeight w:val="300"/>
        </w:trPr>
        <w:tc>
          <w:tcPr>
            <w:tcW w:w="2561"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Skin</w:t>
            </w:r>
          </w:p>
        </w:tc>
        <w:tc>
          <w:tcPr>
            <w:tcW w:w="1900"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FACS</w:t>
            </w:r>
          </w:p>
        </w:tc>
        <w:tc>
          <w:tcPr>
            <w:tcW w:w="199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2.4</w:t>
            </w:r>
          </w:p>
        </w:tc>
      </w:tr>
      <w:tr w:rsidR="00634A90" w:rsidRPr="009367C4" w:rsidTr="00634A90">
        <w:trPr>
          <w:cantSplit/>
          <w:trHeight w:val="300"/>
        </w:trPr>
        <w:tc>
          <w:tcPr>
            <w:tcW w:w="2561"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CNS</w:t>
            </w:r>
          </w:p>
        </w:tc>
        <w:tc>
          <w:tcPr>
            <w:tcW w:w="1900"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Skin</w:t>
            </w:r>
          </w:p>
        </w:tc>
        <w:tc>
          <w:tcPr>
            <w:tcW w:w="199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2.8</w:t>
            </w:r>
          </w:p>
        </w:tc>
      </w:tr>
      <w:tr w:rsidR="00634A90" w:rsidRPr="009367C4" w:rsidTr="00634A90">
        <w:trPr>
          <w:cantSplit/>
          <w:trHeight w:val="300"/>
        </w:trPr>
        <w:tc>
          <w:tcPr>
            <w:tcW w:w="2561"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Urine</w:t>
            </w:r>
          </w:p>
        </w:tc>
        <w:tc>
          <w:tcPr>
            <w:tcW w:w="1900"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2.3</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BM</w:t>
            </w:r>
          </w:p>
        </w:tc>
        <w:tc>
          <w:tcPr>
            <w:tcW w:w="199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2.8</w:t>
            </w:r>
          </w:p>
        </w:tc>
      </w:tr>
      <w:tr w:rsidR="00634A90" w:rsidRPr="009367C4" w:rsidTr="00634A90">
        <w:trPr>
          <w:cantSplit/>
          <w:trHeight w:val="300"/>
        </w:trPr>
        <w:tc>
          <w:tcPr>
            <w:tcW w:w="2561"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BM</w:t>
            </w:r>
          </w:p>
        </w:tc>
        <w:tc>
          <w:tcPr>
            <w:tcW w:w="1900" w:type="dxa"/>
            <w:shd w:val="clear" w:color="000000" w:fill="DA9694"/>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2.3</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CNS</w:t>
            </w:r>
          </w:p>
        </w:tc>
        <w:tc>
          <w:tcPr>
            <w:tcW w:w="1998" w:type="dxa"/>
            <w:shd w:val="clear" w:color="000000" w:fill="DA9694"/>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3.0</w:t>
            </w:r>
          </w:p>
        </w:tc>
      </w:tr>
      <w:tr w:rsidR="00634A90" w:rsidRPr="009367C4" w:rsidTr="00634A90">
        <w:trPr>
          <w:cantSplit/>
          <w:trHeight w:val="300"/>
        </w:trPr>
        <w:tc>
          <w:tcPr>
            <w:tcW w:w="2561" w:type="dxa"/>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other (specify)</w:t>
            </w:r>
          </w:p>
        </w:tc>
        <w:tc>
          <w:tcPr>
            <w:tcW w:w="1900" w:type="dxa"/>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n.r.</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Biopsy - other (specify)</w:t>
            </w:r>
          </w:p>
        </w:tc>
        <w:tc>
          <w:tcPr>
            <w:tcW w:w="1998" w:type="dxa"/>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n.r.</w:t>
            </w:r>
          </w:p>
        </w:tc>
      </w:tr>
      <w:tr w:rsidR="00634A90" w:rsidRPr="009367C4" w:rsidTr="00634A90">
        <w:trPr>
          <w:cantSplit/>
          <w:trHeight w:val="300"/>
        </w:trPr>
        <w:tc>
          <w:tcPr>
            <w:tcW w:w="2561" w:type="dxa"/>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Other (Specify)</w:t>
            </w:r>
          </w:p>
        </w:tc>
        <w:tc>
          <w:tcPr>
            <w:tcW w:w="1900" w:type="dxa"/>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n.r.</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Other (Specify)</w:t>
            </w:r>
          </w:p>
        </w:tc>
        <w:tc>
          <w:tcPr>
            <w:tcW w:w="1998" w:type="dxa"/>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n.r.</w:t>
            </w:r>
          </w:p>
        </w:tc>
      </w:tr>
      <w:tr w:rsidR="00634A90" w:rsidRPr="009367C4" w:rsidTr="00634A90">
        <w:trPr>
          <w:cantSplit/>
          <w:trHeight w:val="300"/>
        </w:trPr>
        <w:tc>
          <w:tcPr>
            <w:tcW w:w="4461" w:type="dxa"/>
            <w:gridSpan w:val="2"/>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 Teunissen et al, Neurol 2009, 73:1914-1922</w:t>
            </w: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4786" w:type="dxa"/>
            <w:gridSpan w:val="2"/>
            <w:vAlign w:val="bottom"/>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 Teunissen et al, Neurol 2009, 73:1914-1922</w:t>
            </w:r>
          </w:p>
        </w:tc>
      </w:tr>
      <w:tr w:rsidR="00634A90" w:rsidRPr="009367C4" w:rsidTr="00634A90">
        <w:trPr>
          <w:cantSplit/>
          <w:trHeight w:val="300"/>
        </w:trPr>
        <w:tc>
          <w:tcPr>
            <w:tcW w:w="2561" w:type="dxa"/>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n.r.  Not rated</w:t>
            </w:r>
          </w:p>
        </w:tc>
        <w:tc>
          <w:tcPr>
            <w:tcW w:w="1900" w:type="dxa"/>
            <w:shd w:val="clear" w:color="auto" w:fill="auto"/>
            <w:noWrap/>
            <w:vAlign w:val="bottom"/>
            <w:hideMark/>
          </w:tcPr>
          <w:p w:rsidR="00634A90" w:rsidRPr="006A58C1" w:rsidRDefault="00634A90" w:rsidP="00846308">
            <w:pPr>
              <w:spacing w:after="0" w:line="240" w:lineRule="auto"/>
              <w:rPr>
                <w:rFonts w:ascii="Arial Narrow" w:eastAsia="Times New Roman" w:hAnsi="Arial Narrow" w:cs="Calibri"/>
                <w:color w:val="000000"/>
              </w:rPr>
            </w:pPr>
          </w:p>
        </w:tc>
        <w:tc>
          <w:tcPr>
            <w:tcW w:w="236" w:type="dxa"/>
            <w:shd w:val="clear" w:color="auto" w:fill="000000"/>
          </w:tcPr>
          <w:p w:rsidR="00634A90" w:rsidRPr="006A58C1" w:rsidRDefault="00634A90" w:rsidP="00846308">
            <w:pPr>
              <w:spacing w:after="0" w:line="240" w:lineRule="auto"/>
              <w:rPr>
                <w:rFonts w:ascii="Arial Narrow" w:eastAsia="Times New Roman" w:hAnsi="Arial Narrow" w:cs="Calibri"/>
                <w:color w:val="000000"/>
              </w:rPr>
            </w:pPr>
          </w:p>
        </w:tc>
        <w:tc>
          <w:tcPr>
            <w:tcW w:w="2788" w:type="dxa"/>
          </w:tcPr>
          <w:p w:rsidR="00634A90" w:rsidRPr="006A58C1" w:rsidRDefault="00634A90" w:rsidP="00846308">
            <w:pPr>
              <w:spacing w:after="0" w:line="240" w:lineRule="auto"/>
              <w:rPr>
                <w:rFonts w:ascii="Arial Narrow" w:eastAsia="Times New Roman" w:hAnsi="Arial Narrow" w:cs="Calibri"/>
                <w:color w:val="000000"/>
              </w:rPr>
            </w:pPr>
            <w:r w:rsidRPr="006A58C1">
              <w:rPr>
                <w:rFonts w:ascii="Arial Narrow" w:eastAsia="Times New Roman" w:hAnsi="Arial Narrow" w:cs="Calibri"/>
                <w:color w:val="000000"/>
              </w:rPr>
              <w:t>n.r.  Not rated</w:t>
            </w:r>
          </w:p>
        </w:tc>
        <w:tc>
          <w:tcPr>
            <w:tcW w:w="1998" w:type="dxa"/>
          </w:tcPr>
          <w:p w:rsidR="00634A90" w:rsidRPr="006A58C1" w:rsidRDefault="00634A90" w:rsidP="00846308">
            <w:pPr>
              <w:spacing w:after="0" w:line="240" w:lineRule="auto"/>
              <w:rPr>
                <w:rFonts w:ascii="Arial Narrow" w:eastAsia="Times New Roman" w:hAnsi="Arial Narrow" w:cs="Calibri"/>
                <w:color w:val="000000"/>
              </w:rPr>
            </w:pPr>
          </w:p>
        </w:tc>
      </w:tr>
    </w:tbl>
    <w:p w:rsidR="00610CB2" w:rsidRPr="009367C4" w:rsidRDefault="00610CB2" w:rsidP="0018505B">
      <w:pPr>
        <w:spacing w:after="0" w:line="240" w:lineRule="auto"/>
        <w:rPr>
          <w:rFonts w:cs="Calibri"/>
        </w:rPr>
      </w:pPr>
    </w:p>
    <w:p w:rsidR="00217A4A" w:rsidRPr="009367C4" w:rsidRDefault="00772BCF" w:rsidP="00846308">
      <w:pPr>
        <w:spacing w:after="0" w:line="240" w:lineRule="auto"/>
        <w:rPr>
          <w:rFonts w:cs="Calibri"/>
        </w:rPr>
      </w:pPr>
      <w:r w:rsidRPr="009367C4">
        <w:rPr>
          <w:rFonts w:cs="Calibri"/>
        </w:rPr>
        <w:t>.</w:t>
      </w:r>
    </w:p>
    <w:p w:rsidR="00FC1CBB" w:rsidRPr="009367C4" w:rsidRDefault="00FC1CBB" w:rsidP="00846308">
      <w:pPr>
        <w:spacing w:after="0" w:line="240" w:lineRule="auto"/>
        <w:rPr>
          <w:rFonts w:cs="Calibri"/>
        </w:rPr>
      </w:pPr>
    </w:p>
    <w:p w:rsidR="00FC1CBB" w:rsidRPr="009367C4" w:rsidRDefault="00FC1CBB" w:rsidP="00846308">
      <w:pPr>
        <w:spacing w:line="240" w:lineRule="auto"/>
        <w:rPr>
          <w:rFonts w:eastAsia="Times New Roman" w:cs="Calibri"/>
          <w:color w:val="000000"/>
        </w:rPr>
      </w:pPr>
    </w:p>
    <w:p w:rsidR="005249D9" w:rsidRPr="009367C4" w:rsidRDefault="005249D9" w:rsidP="00846308">
      <w:pPr>
        <w:spacing w:after="0" w:line="240" w:lineRule="auto"/>
        <w:rPr>
          <w:rFonts w:cs="Calibri"/>
        </w:rPr>
      </w:pPr>
      <w:r w:rsidRPr="009367C4">
        <w:rPr>
          <w:rFonts w:cs="Calibri"/>
        </w:rPr>
        <w:t xml:space="preserve"> </w:t>
      </w:r>
    </w:p>
    <w:sectPr w:rsidR="005249D9" w:rsidRPr="009367C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18" w:rsidRDefault="00CE5E18" w:rsidP="00CB1370">
      <w:pPr>
        <w:spacing w:after="0" w:line="240" w:lineRule="auto"/>
      </w:pPr>
      <w:r>
        <w:separator/>
      </w:r>
    </w:p>
  </w:endnote>
  <w:endnote w:type="continuationSeparator" w:id="0">
    <w:p w:rsidR="00CE5E18" w:rsidRDefault="00CE5E18" w:rsidP="00CB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D5" w:rsidRPr="00634A90" w:rsidRDefault="00C33DA6" w:rsidP="00CB1370">
    <w:pPr>
      <w:pStyle w:val="Footer"/>
      <w:rPr>
        <w:rFonts w:ascii="Arial Narrow" w:hAnsi="Arial Narrow"/>
        <w:sz w:val="24"/>
        <w:szCs w:val="24"/>
      </w:rPr>
    </w:pPr>
    <w:r>
      <w:rPr>
        <w:rFonts w:ascii="Arial Narrow" w:hAnsi="Arial Narrow" w:cs="Arial"/>
        <w:sz w:val="24"/>
        <w:szCs w:val="24"/>
        <w:lang w:val="en-US"/>
      </w:rPr>
      <w:t>NMD Version 1.0</w:t>
    </w:r>
    <w:r w:rsidR="004E1ED5" w:rsidRPr="00634A90">
      <w:rPr>
        <w:rFonts w:ascii="Arial Narrow" w:hAnsi="Arial Narrow" w:cs="Arial"/>
        <w:sz w:val="24"/>
        <w:szCs w:val="24"/>
      </w:rPr>
      <w:tab/>
    </w:r>
    <w:r w:rsidR="00634A90" w:rsidRPr="00634A90">
      <w:rPr>
        <w:rFonts w:ascii="Arial Narrow" w:hAnsi="Arial Narrow" w:cs="Arial"/>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18" w:rsidRDefault="00CE5E18" w:rsidP="00CB1370">
      <w:pPr>
        <w:spacing w:after="0" w:line="240" w:lineRule="auto"/>
      </w:pPr>
      <w:r>
        <w:separator/>
      </w:r>
    </w:p>
  </w:footnote>
  <w:footnote w:type="continuationSeparator" w:id="0">
    <w:p w:rsidR="00CE5E18" w:rsidRDefault="00CE5E18" w:rsidP="00CB1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EEA" w:rsidRPr="002864BC" w:rsidRDefault="00C33DA6" w:rsidP="00A55EEA">
    <w:pPr>
      <w:pStyle w:val="Header"/>
      <w:jc w:val="center"/>
      <w:rPr>
        <w:rFonts w:ascii="Arial Narrow" w:hAnsi="Arial Narrow" w:cs="Arial"/>
        <w:sz w:val="24"/>
        <w:szCs w:val="24"/>
        <w:lang w:val="en-US"/>
      </w:rPr>
    </w:pPr>
    <w:r>
      <w:rPr>
        <w:rFonts w:ascii="Arial Narrow" w:hAnsi="Arial Narrow" w:cs="Arial"/>
        <w:b/>
        <w:sz w:val="24"/>
        <w:szCs w:val="24"/>
        <w:lang w:val="en-US"/>
      </w:rPr>
      <w:tab/>
    </w:r>
    <w:r w:rsidR="002864BC">
      <w:rPr>
        <w:rFonts w:ascii="Arial Narrow" w:hAnsi="Arial Narrow" w:cs="Arial"/>
        <w:b/>
        <w:sz w:val="24"/>
        <w:szCs w:val="24"/>
        <w:lang w:val="en-US"/>
      </w:rPr>
      <w:t xml:space="preserve">NINDS NMD CDEs – Biospecimen Collection Guidelines for Use </w:t>
    </w:r>
    <w:r>
      <w:rPr>
        <w:rFonts w:ascii="Arial Narrow" w:hAnsi="Arial Narrow" w:cs="Arial"/>
        <w:b/>
        <w:sz w:val="24"/>
        <w:szCs w:val="24"/>
        <w:lang w:val="en-US"/>
      </w:rPr>
      <w:tab/>
    </w:r>
    <w:r w:rsidRPr="00634A90">
      <w:rPr>
        <w:rFonts w:ascii="Arial Narrow" w:hAnsi="Arial Narrow" w:cs="Arial"/>
        <w:sz w:val="24"/>
        <w:szCs w:val="24"/>
      </w:rPr>
      <w:t xml:space="preserve">Page </w:t>
    </w:r>
    <w:r w:rsidRPr="00634A90">
      <w:rPr>
        <w:rFonts w:ascii="Arial Narrow" w:hAnsi="Arial Narrow" w:cs="Arial"/>
        <w:b/>
        <w:sz w:val="24"/>
        <w:szCs w:val="24"/>
      </w:rPr>
      <w:fldChar w:fldCharType="begin"/>
    </w:r>
    <w:r w:rsidRPr="00634A90">
      <w:rPr>
        <w:rFonts w:ascii="Arial Narrow" w:hAnsi="Arial Narrow" w:cs="Arial"/>
        <w:b/>
        <w:sz w:val="24"/>
        <w:szCs w:val="24"/>
      </w:rPr>
      <w:instrText xml:space="preserve"> PAGE </w:instrText>
    </w:r>
    <w:r w:rsidRPr="00634A90">
      <w:rPr>
        <w:rFonts w:ascii="Arial Narrow" w:hAnsi="Arial Narrow" w:cs="Arial"/>
        <w:b/>
        <w:sz w:val="24"/>
        <w:szCs w:val="24"/>
      </w:rPr>
      <w:fldChar w:fldCharType="separate"/>
    </w:r>
    <w:r w:rsidR="00AE0E76">
      <w:rPr>
        <w:rFonts w:ascii="Arial Narrow" w:hAnsi="Arial Narrow" w:cs="Arial"/>
        <w:b/>
        <w:noProof/>
        <w:sz w:val="24"/>
        <w:szCs w:val="24"/>
      </w:rPr>
      <w:t>1</w:t>
    </w:r>
    <w:r w:rsidRPr="00634A90">
      <w:rPr>
        <w:rFonts w:ascii="Arial Narrow" w:hAnsi="Arial Narrow" w:cs="Arial"/>
        <w:b/>
        <w:sz w:val="24"/>
        <w:szCs w:val="24"/>
      </w:rPr>
      <w:fldChar w:fldCharType="end"/>
    </w:r>
    <w:r w:rsidRPr="00634A90">
      <w:rPr>
        <w:rFonts w:ascii="Arial Narrow" w:hAnsi="Arial Narrow" w:cs="Arial"/>
        <w:sz w:val="24"/>
        <w:szCs w:val="24"/>
      </w:rPr>
      <w:t xml:space="preserve"> of </w:t>
    </w:r>
    <w:r w:rsidRPr="00634A90">
      <w:rPr>
        <w:rFonts w:ascii="Arial Narrow" w:hAnsi="Arial Narrow" w:cs="Arial"/>
        <w:b/>
        <w:sz w:val="24"/>
        <w:szCs w:val="24"/>
      </w:rPr>
      <w:fldChar w:fldCharType="begin"/>
    </w:r>
    <w:r w:rsidRPr="00634A90">
      <w:rPr>
        <w:rFonts w:ascii="Arial Narrow" w:hAnsi="Arial Narrow" w:cs="Arial"/>
        <w:b/>
        <w:sz w:val="24"/>
        <w:szCs w:val="24"/>
      </w:rPr>
      <w:instrText xml:space="preserve"> NUMPAGES  </w:instrText>
    </w:r>
    <w:r w:rsidRPr="00634A90">
      <w:rPr>
        <w:rFonts w:ascii="Arial Narrow" w:hAnsi="Arial Narrow" w:cs="Arial"/>
        <w:b/>
        <w:sz w:val="24"/>
        <w:szCs w:val="24"/>
      </w:rPr>
      <w:fldChar w:fldCharType="separate"/>
    </w:r>
    <w:r w:rsidR="00AE0E76">
      <w:rPr>
        <w:rFonts w:ascii="Arial Narrow" w:hAnsi="Arial Narrow" w:cs="Arial"/>
        <w:b/>
        <w:noProof/>
        <w:sz w:val="24"/>
        <w:szCs w:val="24"/>
      </w:rPr>
      <w:t>7</w:t>
    </w:r>
    <w:r w:rsidRPr="00634A90">
      <w:rPr>
        <w:rFonts w:ascii="Arial Narrow" w:hAnsi="Arial Narrow" w:cs="Arial"/>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366C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60124B"/>
    <w:multiLevelType w:val="hybridMultilevel"/>
    <w:tmpl w:val="387C44BC"/>
    <w:lvl w:ilvl="0" w:tplc="04090011">
      <w:start w:val="1"/>
      <w:numFmt w:val="decimal"/>
      <w:lvlText w:val="%1)"/>
      <w:lvlJc w:val="left"/>
      <w:pPr>
        <w:ind w:left="720" w:hanging="360"/>
      </w:pPr>
    </w:lvl>
    <w:lvl w:ilvl="1" w:tplc="425648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70F4E"/>
    <w:multiLevelType w:val="hybridMultilevel"/>
    <w:tmpl w:val="BF9A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443629"/>
    <w:multiLevelType w:val="hybridMultilevel"/>
    <w:tmpl w:val="F83A60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211BB"/>
    <w:multiLevelType w:val="hybridMultilevel"/>
    <w:tmpl w:val="EAF4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D879AB"/>
    <w:multiLevelType w:val="hybridMultilevel"/>
    <w:tmpl w:val="E02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76F"/>
    <w:rsid w:val="00025F8D"/>
    <w:rsid w:val="00030451"/>
    <w:rsid w:val="000348A6"/>
    <w:rsid w:val="0008276F"/>
    <w:rsid w:val="000A768A"/>
    <w:rsid w:val="000B441D"/>
    <w:rsid w:val="001058CA"/>
    <w:rsid w:val="001060FC"/>
    <w:rsid w:val="001263F1"/>
    <w:rsid w:val="00140DB6"/>
    <w:rsid w:val="0015457A"/>
    <w:rsid w:val="00154790"/>
    <w:rsid w:val="00170C7A"/>
    <w:rsid w:val="0018505B"/>
    <w:rsid w:val="001A2328"/>
    <w:rsid w:val="001A42EB"/>
    <w:rsid w:val="001A46BD"/>
    <w:rsid w:val="001B11ED"/>
    <w:rsid w:val="001B54FE"/>
    <w:rsid w:val="001D32DF"/>
    <w:rsid w:val="001D417F"/>
    <w:rsid w:val="001E0806"/>
    <w:rsid w:val="001E64AA"/>
    <w:rsid w:val="001F3A5D"/>
    <w:rsid w:val="00217A4A"/>
    <w:rsid w:val="00217D0D"/>
    <w:rsid w:val="00226377"/>
    <w:rsid w:val="00227933"/>
    <w:rsid w:val="002864BC"/>
    <w:rsid w:val="002A2B11"/>
    <w:rsid w:val="002B44FF"/>
    <w:rsid w:val="002D4898"/>
    <w:rsid w:val="00305184"/>
    <w:rsid w:val="0031238C"/>
    <w:rsid w:val="003172F2"/>
    <w:rsid w:val="00335962"/>
    <w:rsid w:val="0038295A"/>
    <w:rsid w:val="003957AD"/>
    <w:rsid w:val="003C3EDA"/>
    <w:rsid w:val="00473372"/>
    <w:rsid w:val="004B69E8"/>
    <w:rsid w:val="004E0F19"/>
    <w:rsid w:val="004E1ED5"/>
    <w:rsid w:val="00514E06"/>
    <w:rsid w:val="00515E70"/>
    <w:rsid w:val="005249D9"/>
    <w:rsid w:val="005621A3"/>
    <w:rsid w:val="00566E4D"/>
    <w:rsid w:val="005A0664"/>
    <w:rsid w:val="005A55A9"/>
    <w:rsid w:val="005A57E3"/>
    <w:rsid w:val="005D529A"/>
    <w:rsid w:val="005F323D"/>
    <w:rsid w:val="00610CB2"/>
    <w:rsid w:val="00634A90"/>
    <w:rsid w:val="00660FEF"/>
    <w:rsid w:val="0066694E"/>
    <w:rsid w:val="0068424D"/>
    <w:rsid w:val="006A58C1"/>
    <w:rsid w:val="006B580B"/>
    <w:rsid w:val="00715808"/>
    <w:rsid w:val="00730612"/>
    <w:rsid w:val="00745392"/>
    <w:rsid w:val="007553F2"/>
    <w:rsid w:val="00772BCF"/>
    <w:rsid w:val="00780F24"/>
    <w:rsid w:val="00782C4E"/>
    <w:rsid w:val="007931B5"/>
    <w:rsid w:val="007A5B3B"/>
    <w:rsid w:val="007C7FCD"/>
    <w:rsid w:val="007E0FB1"/>
    <w:rsid w:val="007F002B"/>
    <w:rsid w:val="0082719F"/>
    <w:rsid w:val="008326D4"/>
    <w:rsid w:val="00833C34"/>
    <w:rsid w:val="00833FCC"/>
    <w:rsid w:val="00846308"/>
    <w:rsid w:val="00855AC7"/>
    <w:rsid w:val="00875A23"/>
    <w:rsid w:val="008763CE"/>
    <w:rsid w:val="00885402"/>
    <w:rsid w:val="00896121"/>
    <w:rsid w:val="008C456A"/>
    <w:rsid w:val="008D1CBB"/>
    <w:rsid w:val="008E684C"/>
    <w:rsid w:val="008F304F"/>
    <w:rsid w:val="0091651F"/>
    <w:rsid w:val="00934EA6"/>
    <w:rsid w:val="009367C4"/>
    <w:rsid w:val="00964CB8"/>
    <w:rsid w:val="009707AE"/>
    <w:rsid w:val="00980CA6"/>
    <w:rsid w:val="009C7BB4"/>
    <w:rsid w:val="009E05BC"/>
    <w:rsid w:val="00A5018B"/>
    <w:rsid w:val="00A55EEA"/>
    <w:rsid w:val="00A7121A"/>
    <w:rsid w:val="00AA03FA"/>
    <w:rsid w:val="00AA6C9E"/>
    <w:rsid w:val="00AE0E76"/>
    <w:rsid w:val="00AE2896"/>
    <w:rsid w:val="00B47A64"/>
    <w:rsid w:val="00B622B3"/>
    <w:rsid w:val="00B91FDD"/>
    <w:rsid w:val="00B9409F"/>
    <w:rsid w:val="00BA7B6E"/>
    <w:rsid w:val="00BC5438"/>
    <w:rsid w:val="00BC7024"/>
    <w:rsid w:val="00BF3E19"/>
    <w:rsid w:val="00C10309"/>
    <w:rsid w:val="00C11C12"/>
    <w:rsid w:val="00C12C78"/>
    <w:rsid w:val="00C166D7"/>
    <w:rsid w:val="00C33DA6"/>
    <w:rsid w:val="00C35B52"/>
    <w:rsid w:val="00C37D43"/>
    <w:rsid w:val="00C54DD4"/>
    <w:rsid w:val="00C86606"/>
    <w:rsid w:val="00CB1370"/>
    <w:rsid w:val="00CB291E"/>
    <w:rsid w:val="00CE5E18"/>
    <w:rsid w:val="00D16101"/>
    <w:rsid w:val="00D272CC"/>
    <w:rsid w:val="00D67D39"/>
    <w:rsid w:val="00D77AC9"/>
    <w:rsid w:val="00D8361F"/>
    <w:rsid w:val="00D90F04"/>
    <w:rsid w:val="00D96574"/>
    <w:rsid w:val="00DB4E5A"/>
    <w:rsid w:val="00DD2BA7"/>
    <w:rsid w:val="00E12A26"/>
    <w:rsid w:val="00E14CFF"/>
    <w:rsid w:val="00E51F3A"/>
    <w:rsid w:val="00E64977"/>
    <w:rsid w:val="00E83B3B"/>
    <w:rsid w:val="00E91938"/>
    <w:rsid w:val="00EC0848"/>
    <w:rsid w:val="00EC1F1B"/>
    <w:rsid w:val="00EC3081"/>
    <w:rsid w:val="00EC6594"/>
    <w:rsid w:val="00EC6ED3"/>
    <w:rsid w:val="00ED372A"/>
    <w:rsid w:val="00EF179E"/>
    <w:rsid w:val="00F033CC"/>
    <w:rsid w:val="00F205D4"/>
    <w:rsid w:val="00F36094"/>
    <w:rsid w:val="00F415AB"/>
    <w:rsid w:val="00F87726"/>
    <w:rsid w:val="00F91D5F"/>
    <w:rsid w:val="00FA082E"/>
    <w:rsid w:val="00FA5E29"/>
    <w:rsid w:val="00FB4C45"/>
    <w:rsid w:val="00FC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0A42-A237-4564-B074-2A1E78CA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95A"/>
    <w:pPr>
      <w:spacing w:after="200" w:line="276" w:lineRule="auto"/>
    </w:pPr>
    <w:rPr>
      <w:rFonts w:ascii="Arial" w:hAnsi="Arial"/>
      <w:sz w:val="22"/>
      <w:szCs w:val="22"/>
    </w:rPr>
  </w:style>
  <w:style w:type="paragraph" w:styleId="Heading1">
    <w:name w:val="heading 1"/>
    <w:basedOn w:val="Normal"/>
    <w:link w:val="Heading1Char"/>
    <w:uiPriority w:val="9"/>
    <w:qFormat/>
    <w:rsid w:val="001E080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link w:val="Heading2Char"/>
    <w:uiPriority w:val="9"/>
    <w:qFormat/>
    <w:rsid w:val="001E0806"/>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2A26"/>
    <w:rPr>
      <w:color w:val="0000FF"/>
      <w:u w:val="single"/>
    </w:rPr>
  </w:style>
  <w:style w:type="character" w:styleId="CommentReference">
    <w:name w:val="annotation reference"/>
    <w:uiPriority w:val="99"/>
    <w:semiHidden/>
    <w:unhideWhenUsed/>
    <w:rsid w:val="00E12A26"/>
    <w:rPr>
      <w:sz w:val="16"/>
      <w:szCs w:val="16"/>
    </w:rPr>
  </w:style>
  <w:style w:type="paragraph" w:styleId="CommentText">
    <w:name w:val="annotation text"/>
    <w:basedOn w:val="Normal"/>
    <w:link w:val="CommentTextChar"/>
    <w:uiPriority w:val="99"/>
    <w:semiHidden/>
    <w:unhideWhenUsed/>
    <w:rsid w:val="00E12A26"/>
    <w:rPr>
      <w:sz w:val="20"/>
      <w:szCs w:val="20"/>
    </w:rPr>
  </w:style>
  <w:style w:type="character" w:customStyle="1" w:styleId="CommentTextChar">
    <w:name w:val="Comment Text Char"/>
    <w:basedOn w:val="DefaultParagraphFont"/>
    <w:link w:val="CommentText"/>
    <w:uiPriority w:val="99"/>
    <w:semiHidden/>
    <w:rsid w:val="00E12A26"/>
  </w:style>
  <w:style w:type="paragraph" w:styleId="BalloonText">
    <w:name w:val="Balloon Text"/>
    <w:basedOn w:val="Normal"/>
    <w:link w:val="BalloonTextChar"/>
    <w:uiPriority w:val="99"/>
    <w:semiHidden/>
    <w:unhideWhenUsed/>
    <w:rsid w:val="00E12A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12A26"/>
    <w:rPr>
      <w:rFonts w:ascii="Tahoma" w:hAnsi="Tahoma" w:cs="Tahoma"/>
      <w:sz w:val="16"/>
      <w:szCs w:val="16"/>
    </w:rPr>
  </w:style>
  <w:style w:type="paragraph" w:customStyle="1" w:styleId="MediumGrid1-Accent21">
    <w:name w:val="Medium Grid 1 - Accent 21"/>
    <w:basedOn w:val="Normal"/>
    <w:uiPriority w:val="34"/>
    <w:qFormat/>
    <w:rsid w:val="00217A4A"/>
    <w:pPr>
      <w:ind w:left="720"/>
      <w:contextualSpacing/>
    </w:pPr>
  </w:style>
  <w:style w:type="paragraph" w:styleId="CommentSubject">
    <w:name w:val="annotation subject"/>
    <w:basedOn w:val="CommentText"/>
    <w:next w:val="CommentText"/>
    <w:link w:val="CommentSubjectChar"/>
    <w:uiPriority w:val="99"/>
    <w:semiHidden/>
    <w:unhideWhenUsed/>
    <w:rsid w:val="00FA082E"/>
    <w:rPr>
      <w:b/>
      <w:bCs/>
      <w:lang w:val="x-none" w:eastAsia="x-none"/>
    </w:rPr>
  </w:style>
  <w:style w:type="character" w:customStyle="1" w:styleId="CommentSubjectChar">
    <w:name w:val="Comment Subject Char"/>
    <w:link w:val="CommentSubject"/>
    <w:uiPriority w:val="99"/>
    <w:semiHidden/>
    <w:rsid w:val="00FA082E"/>
    <w:rPr>
      <w:b/>
      <w:bCs/>
    </w:rPr>
  </w:style>
  <w:style w:type="character" w:customStyle="1" w:styleId="Heading1Char">
    <w:name w:val="Heading 1 Char"/>
    <w:link w:val="Heading1"/>
    <w:uiPriority w:val="9"/>
    <w:rsid w:val="001E0806"/>
    <w:rPr>
      <w:rFonts w:ascii="Times New Roman" w:eastAsia="Times New Roman" w:hAnsi="Times New Roman"/>
      <w:b/>
      <w:bCs/>
      <w:kern w:val="36"/>
      <w:sz w:val="48"/>
      <w:szCs w:val="48"/>
    </w:rPr>
  </w:style>
  <w:style w:type="character" w:customStyle="1" w:styleId="Heading2Char">
    <w:name w:val="Heading 2 Char"/>
    <w:link w:val="Heading2"/>
    <w:uiPriority w:val="9"/>
    <w:rsid w:val="001E0806"/>
    <w:rPr>
      <w:rFonts w:ascii="Times New Roman" w:eastAsia="Times New Roman" w:hAnsi="Times New Roman"/>
      <w:b/>
      <w:bCs/>
      <w:sz w:val="36"/>
      <w:szCs w:val="36"/>
    </w:rPr>
  </w:style>
  <w:style w:type="paragraph" w:styleId="NormalWeb">
    <w:name w:val="Normal (Web)"/>
    <w:basedOn w:val="Normal"/>
    <w:uiPriority w:val="99"/>
    <w:semiHidden/>
    <w:unhideWhenUsed/>
    <w:rsid w:val="001E080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E0806"/>
    <w:rPr>
      <w:b/>
      <w:bCs/>
    </w:rPr>
  </w:style>
  <w:style w:type="paragraph" w:styleId="Header">
    <w:name w:val="header"/>
    <w:basedOn w:val="Normal"/>
    <w:link w:val="HeaderChar"/>
    <w:uiPriority w:val="99"/>
    <w:unhideWhenUsed/>
    <w:rsid w:val="00CB1370"/>
    <w:pPr>
      <w:tabs>
        <w:tab w:val="center" w:pos="4680"/>
        <w:tab w:val="right" w:pos="9360"/>
      </w:tabs>
    </w:pPr>
    <w:rPr>
      <w:lang w:val="x-none" w:eastAsia="x-none"/>
    </w:rPr>
  </w:style>
  <w:style w:type="character" w:customStyle="1" w:styleId="HeaderChar">
    <w:name w:val="Header Char"/>
    <w:link w:val="Header"/>
    <w:uiPriority w:val="99"/>
    <w:rsid w:val="00CB1370"/>
    <w:rPr>
      <w:sz w:val="22"/>
      <w:szCs w:val="22"/>
    </w:rPr>
  </w:style>
  <w:style w:type="paragraph" w:styleId="Footer">
    <w:name w:val="footer"/>
    <w:basedOn w:val="Normal"/>
    <w:link w:val="FooterChar"/>
    <w:uiPriority w:val="99"/>
    <w:unhideWhenUsed/>
    <w:rsid w:val="00CB1370"/>
    <w:pPr>
      <w:tabs>
        <w:tab w:val="center" w:pos="4680"/>
        <w:tab w:val="right" w:pos="9360"/>
      </w:tabs>
    </w:pPr>
    <w:rPr>
      <w:lang w:val="x-none" w:eastAsia="x-none"/>
    </w:rPr>
  </w:style>
  <w:style w:type="character" w:customStyle="1" w:styleId="FooterChar">
    <w:name w:val="Footer Char"/>
    <w:link w:val="Footer"/>
    <w:uiPriority w:val="99"/>
    <w:rsid w:val="00CB13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0580">
      <w:bodyDiv w:val="1"/>
      <w:marLeft w:val="0"/>
      <w:marRight w:val="0"/>
      <w:marTop w:val="0"/>
      <w:marBottom w:val="0"/>
      <w:divBdr>
        <w:top w:val="none" w:sz="0" w:space="0" w:color="auto"/>
        <w:left w:val="none" w:sz="0" w:space="0" w:color="auto"/>
        <w:bottom w:val="none" w:sz="0" w:space="0" w:color="auto"/>
        <w:right w:val="none" w:sz="0" w:space="0" w:color="auto"/>
      </w:divBdr>
    </w:div>
    <w:div w:id="449398187">
      <w:bodyDiv w:val="1"/>
      <w:marLeft w:val="0"/>
      <w:marRight w:val="0"/>
      <w:marTop w:val="0"/>
      <w:marBottom w:val="0"/>
      <w:divBdr>
        <w:top w:val="none" w:sz="0" w:space="0" w:color="auto"/>
        <w:left w:val="none" w:sz="0" w:space="0" w:color="auto"/>
        <w:bottom w:val="none" w:sz="0" w:space="0" w:color="auto"/>
        <w:right w:val="none" w:sz="0" w:space="0" w:color="auto"/>
      </w:divBdr>
    </w:div>
    <w:div w:id="880286813">
      <w:bodyDiv w:val="1"/>
      <w:marLeft w:val="0"/>
      <w:marRight w:val="0"/>
      <w:marTop w:val="0"/>
      <w:marBottom w:val="0"/>
      <w:divBdr>
        <w:top w:val="none" w:sz="0" w:space="0" w:color="auto"/>
        <w:left w:val="none" w:sz="0" w:space="0" w:color="auto"/>
        <w:bottom w:val="none" w:sz="0" w:space="0" w:color="auto"/>
        <w:right w:val="none" w:sz="0" w:space="0" w:color="auto"/>
      </w:divBdr>
    </w:div>
    <w:div w:id="2005040585">
      <w:bodyDiv w:val="1"/>
      <w:marLeft w:val="0"/>
      <w:marRight w:val="0"/>
      <w:marTop w:val="0"/>
      <w:marBottom w:val="0"/>
      <w:divBdr>
        <w:top w:val="none" w:sz="0" w:space="0" w:color="auto"/>
        <w:left w:val="none" w:sz="0" w:space="0" w:color="auto"/>
        <w:bottom w:val="none" w:sz="0" w:space="0" w:color="auto"/>
        <w:right w:val="none" w:sz="0" w:space="0" w:color="auto"/>
      </w:divBdr>
      <w:divsChild>
        <w:div w:id="574435611">
          <w:marLeft w:val="0"/>
          <w:marRight w:val="0"/>
          <w:marTop w:val="0"/>
          <w:marBottom w:val="0"/>
          <w:divBdr>
            <w:top w:val="none" w:sz="0" w:space="0" w:color="auto"/>
            <w:left w:val="none" w:sz="0" w:space="0" w:color="auto"/>
            <w:bottom w:val="none" w:sz="0" w:space="0" w:color="auto"/>
            <w:right w:val="none" w:sz="0" w:space="0" w:color="auto"/>
          </w:divBdr>
          <w:divsChild>
            <w:div w:id="2045516713">
              <w:marLeft w:val="0"/>
              <w:marRight w:val="0"/>
              <w:marTop w:val="0"/>
              <w:marBottom w:val="0"/>
              <w:divBdr>
                <w:top w:val="none" w:sz="0" w:space="0" w:color="auto"/>
                <w:left w:val="none" w:sz="0" w:space="0" w:color="auto"/>
                <w:bottom w:val="none" w:sz="0" w:space="0" w:color="auto"/>
                <w:right w:val="none" w:sz="0" w:space="0" w:color="auto"/>
              </w:divBdr>
              <w:divsChild>
                <w:div w:id="2055234850">
                  <w:marLeft w:val="0"/>
                  <w:marRight w:val="0"/>
                  <w:marTop w:val="0"/>
                  <w:marBottom w:val="0"/>
                  <w:divBdr>
                    <w:top w:val="none" w:sz="0" w:space="0" w:color="auto"/>
                    <w:left w:val="none" w:sz="0" w:space="0" w:color="auto"/>
                    <w:bottom w:val="none" w:sz="0" w:space="0" w:color="auto"/>
                    <w:right w:val="none" w:sz="0" w:space="0" w:color="auto"/>
                  </w:divBdr>
                  <w:divsChild>
                    <w:div w:id="928656967">
                      <w:marLeft w:val="0"/>
                      <w:marRight w:val="0"/>
                      <w:marTop w:val="0"/>
                      <w:marBottom w:val="0"/>
                      <w:divBdr>
                        <w:top w:val="none" w:sz="0" w:space="0" w:color="auto"/>
                        <w:left w:val="none" w:sz="0" w:space="0" w:color="auto"/>
                        <w:bottom w:val="none" w:sz="0" w:space="0" w:color="auto"/>
                        <w:right w:val="none" w:sz="0" w:space="0" w:color="auto"/>
                      </w:divBdr>
                      <w:divsChild>
                        <w:div w:id="1216355455">
                          <w:marLeft w:val="0"/>
                          <w:marRight w:val="0"/>
                          <w:marTop w:val="0"/>
                          <w:marBottom w:val="0"/>
                          <w:divBdr>
                            <w:top w:val="none" w:sz="0" w:space="0" w:color="auto"/>
                            <w:left w:val="none" w:sz="0" w:space="0" w:color="auto"/>
                            <w:bottom w:val="none" w:sz="0" w:space="0" w:color="auto"/>
                            <w:right w:val="none" w:sz="0" w:space="0" w:color="auto"/>
                          </w:divBdr>
                          <w:divsChild>
                            <w:div w:id="19548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s.eu/index.php" TargetMode="External"/><Relationship Id="rId13" Type="http://schemas.openxmlformats.org/officeDocument/2006/relationships/hyperlink" Target="http://www.coriell.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t-nmd.eu/downloads/file/newsletter/archive/2010/treat-nmd_newsletter_no87.pdf" TargetMode="External"/><Relationship Id="rId12" Type="http://schemas.openxmlformats.org/officeDocument/2006/relationships/hyperlink" Target="http://biospecimens.cancer.gov/global/pdfs/NCI_Best_Practices_06050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d.nci.nih.gov/BRN/brnHome.sea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kompetenznetz-multiplesklerose.de/en" TargetMode="External"/><Relationship Id="rId4" Type="http://schemas.openxmlformats.org/officeDocument/2006/relationships/webSettings" Target="webSettings.xml"/><Relationship Id="rId9" Type="http://schemas.openxmlformats.org/officeDocument/2006/relationships/hyperlink" Target="http://ndar.nih.gov/" TargetMode="External"/><Relationship Id="rId14" Type="http://schemas.openxmlformats.org/officeDocument/2006/relationships/hyperlink" Target="http://www.immunetolerance.org/professionals/research/lab-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21550</CharactersWithSpaces>
  <SharedDoc>false</SharedDoc>
  <HLinks>
    <vt:vector size="48" baseType="variant">
      <vt:variant>
        <vt:i4>3473534</vt:i4>
      </vt:variant>
      <vt:variant>
        <vt:i4>21</vt:i4>
      </vt:variant>
      <vt:variant>
        <vt:i4>0</vt:i4>
      </vt:variant>
      <vt:variant>
        <vt:i4>5</vt:i4>
      </vt:variant>
      <vt:variant>
        <vt:lpwstr>http://www.immunetolerance.org/professionals/research/lab-protocols</vt:lpwstr>
      </vt:variant>
      <vt:variant>
        <vt:lpwstr/>
      </vt:variant>
      <vt:variant>
        <vt:i4>3866726</vt:i4>
      </vt:variant>
      <vt:variant>
        <vt:i4>18</vt:i4>
      </vt:variant>
      <vt:variant>
        <vt:i4>0</vt:i4>
      </vt:variant>
      <vt:variant>
        <vt:i4>5</vt:i4>
      </vt:variant>
      <vt:variant>
        <vt:lpwstr>http://www.coriell.org/</vt:lpwstr>
      </vt:variant>
      <vt:variant>
        <vt:lpwstr/>
      </vt:variant>
      <vt:variant>
        <vt:i4>65654</vt:i4>
      </vt:variant>
      <vt:variant>
        <vt:i4>15</vt:i4>
      </vt:variant>
      <vt:variant>
        <vt:i4>0</vt:i4>
      </vt:variant>
      <vt:variant>
        <vt:i4>5</vt:i4>
      </vt:variant>
      <vt:variant>
        <vt:lpwstr>http://biospecimens.cancer.gov/global/pdfs/NCI_Best_Practices_060507.pdf</vt:lpwstr>
      </vt:variant>
      <vt:variant>
        <vt:lpwstr/>
      </vt:variant>
      <vt:variant>
        <vt:i4>720974</vt:i4>
      </vt:variant>
      <vt:variant>
        <vt:i4>12</vt:i4>
      </vt:variant>
      <vt:variant>
        <vt:i4>0</vt:i4>
      </vt:variant>
      <vt:variant>
        <vt:i4>5</vt:i4>
      </vt:variant>
      <vt:variant>
        <vt:lpwstr>https://brd.nci.nih.gov/BRN/brnHome.seam</vt:lpwstr>
      </vt:variant>
      <vt:variant>
        <vt:lpwstr/>
      </vt:variant>
      <vt:variant>
        <vt:i4>8126521</vt:i4>
      </vt:variant>
      <vt:variant>
        <vt:i4>9</vt:i4>
      </vt:variant>
      <vt:variant>
        <vt:i4>0</vt:i4>
      </vt:variant>
      <vt:variant>
        <vt:i4>5</vt:i4>
      </vt:variant>
      <vt:variant>
        <vt:lpwstr>http://www.kompetenznetz-multiplesklerose.de/en</vt:lpwstr>
      </vt:variant>
      <vt:variant>
        <vt:lpwstr/>
      </vt:variant>
      <vt:variant>
        <vt:i4>851976</vt:i4>
      </vt:variant>
      <vt:variant>
        <vt:i4>6</vt:i4>
      </vt:variant>
      <vt:variant>
        <vt:i4>0</vt:i4>
      </vt:variant>
      <vt:variant>
        <vt:i4>5</vt:i4>
      </vt:variant>
      <vt:variant>
        <vt:lpwstr>http://ndar.nih.gov/</vt:lpwstr>
      </vt:variant>
      <vt:variant>
        <vt:lpwstr/>
      </vt:variant>
      <vt:variant>
        <vt:i4>5373962</vt:i4>
      </vt:variant>
      <vt:variant>
        <vt:i4>3</vt:i4>
      </vt:variant>
      <vt:variant>
        <vt:i4>0</vt:i4>
      </vt:variant>
      <vt:variant>
        <vt:i4>5</vt:i4>
      </vt:variant>
      <vt:variant>
        <vt:lpwstr>http://www.bioms.eu/index.php</vt:lpwstr>
      </vt:variant>
      <vt:variant>
        <vt:lpwstr/>
      </vt:variant>
      <vt:variant>
        <vt:i4>3473442</vt:i4>
      </vt:variant>
      <vt:variant>
        <vt:i4>0</vt:i4>
      </vt:variant>
      <vt:variant>
        <vt:i4>0</vt:i4>
      </vt:variant>
      <vt:variant>
        <vt:i4>5</vt:i4>
      </vt:variant>
      <vt:variant>
        <vt:lpwstr>http://www.treat-nmd.eu/downloads/file/newsletter/archive/2010/treat-nmd_newsletter_no87.pdf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NINDS NMD CDEs Biospecimen Collection Guidelines for Use</dc:title>
  <dc:subject>CRF</dc:subject>
  <dc:creator>NINDS</dc:creator>
  <cp:keywords>NINDS, CRF, NINDS NMD CDEs Biospecimen Collection Guidelines for Use</cp:keywords>
  <cp:lastModifiedBy>Andy Franklin</cp:lastModifiedBy>
  <cp:revision>3</cp:revision>
  <dcterms:created xsi:type="dcterms:W3CDTF">2014-04-25T19:27:00Z</dcterms:created>
  <dcterms:modified xsi:type="dcterms:W3CDTF">2014-05-01T18:35:00Z</dcterms:modified>
  <cp:category>CRF</cp:category>
</cp:coreProperties>
</file>