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227" w:rsidRPr="00097F34" w:rsidRDefault="00411227" w:rsidP="00097F34">
      <w:pPr>
        <w:pStyle w:val="Heading1"/>
        <w:spacing w:before="120" w:after="60"/>
      </w:pPr>
      <w:r w:rsidRPr="00097F34">
        <w:t>S</w:t>
      </w:r>
      <w:bookmarkStart w:id="0" w:name="_GoBack"/>
      <w:bookmarkEnd w:id="0"/>
      <w:r w:rsidRPr="00097F34">
        <w:t>CI CDE Imaging Guidelines</w:t>
      </w:r>
    </w:p>
    <w:p w:rsidR="00097F34" w:rsidRDefault="00097F34" w:rsidP="00097F34">
      <w:pPr>
        <w:spacing w:before="120" w:after="60"/>
        <w:rPr>
          <w:rFonts w:cs="Times New Roman"/>
          <w:color w:val="000000"/>
          <w:sz w:val="24"/>
          <w:szCs w:val="24"/>
        </w:rPr>
      </w:pPr>
    </w:p>
    <w:p w:rsidR="00411227" w:rsidRPr="00931B65" w:rsidRDefault="00411227" w:rsidP="00097F34">
      <w:pPr>
        <w:spacing w:before="120" w:after="60"/>
        <w:rPr>
          <w:rFonts w:cs="Times New Roman"/>
          <w:color w:val="000000"/>
          <w:sz w:val="24"/>
          <w:szCs w:val="24"/>
        </w:rPr>
      </w:pPr>
      <w:r w:rsidRPr="00931B65">
        <w:rPr>
          <w:rFonts w:cs="Times New Roman"/>
          <w:color w:val="000000"/>
          <w:sz w:val="24"/>
          <w:szCs w:val="24"/>
        </w:rPr>
        <w:t>There are several imaging techniques in common clinical use in the evaluation of spinal trauma and spinal cord injury (SCI) includ</w:t>
      </w:r>
      <w:r w:rsidR="00B37C35">
        <w:rPr>
          <w:rFonts w:cs="Times New Roman"/>
          <w:color w:val="000000"/>
          <w:sz w:val="24"/>
          <w:szCs w:val="24"/>
        </w:rPr>
        <w:t>ing</w:t>
      </w:r>
      <w:r w:rsidRPr="00931B65">
        <w:rPr>
          <w:rFonts w:cs="Times New Roman"/>
          <w:color w:val="000000"/>
          <w:sz w:val="24"/>
          <w:szCs w:val="24"/>
        </w:rPr>
        <w:t xml:space="preserve"> radiography, computed tomography (CT) and magnetic resonance imaging (MRI). Radiography and CT provide a comprehensive assessment of the complexity of the bony injury as well as structural changes associated with vertebr</w:t>
      </w:r>
      <w:r w:rsidR="00097F34">
        <w:rPr>
          <w:rFonts w:cs="Times New Roman"/>
          <w:color w:val="000000"/>
          <w:sz w:val="24"/>
          <w:szCs w:val="24"/>
        </w:rPr>
        <w:t xml:space="preserve">al translation and angulation. </w:t>
      </w:r>
      <w:r w:rsidRPr="00931B65">
        <w:rPr>
          <w:rFonts w:cs="Times New Roman"/>
          <w:color w:val="000000"/>
          <w:sz w:val="24"/>
          <w:szCs w:val="24"/>
        </w:rPr>
        <w:t>MRI provides the most comprehensive assessment of the soft tissue component of the injury and is the only imaging method that reveals the intrinsic features of spinal cord injury (i</w:t>
      </w:r>
      <w:r w:rsidR="00B37C35">
        <w:rPr>
          <w:rFonts w:cs="Times New Roman"/>
          <w:color w:val="000000"/>
          <w:sz w:val="24"/>
          <w:szCs w:val="24"/>
        </w:rPr>
        <w:t>.</w:t>
      </w:r>
      <w:r w:rsidRPr="00931B65">
        <w:rPr>
          <w:rFonts w:cs="Times New Roman"/>
          <w:color w:val="000000"/>
          <w:sz w:val="24"/>
          <w:szCs w:val="24"/>
        </w:rPr>
        <w:t>e</w:t>
      </w:r>
      <w:r w:rsidR="00B37C35">
        <w:rPr>
          <w:rFonts w:cs="Times New Roman"/>
          <w:color w:val="000000"/>
          <w:sz w:val="24"/>
          <w:szCs w:val="24"/>
        </w:rPr>
        <w:t>.,</w:t>
      </w:r>
      <w:r w:rsidRPr="00931B65">
        <w:rPr>
          <w:rFonts w:cs="Times New Roman"/>
          <w:color w:val="000000"/>
          <w:sz w:val="24"/>
          <w:szCs w:val="24"/>
        </w:rPr>
        <w:t xml:space="preserve"> edema, hemorrhage, </w:t>
      </w:r>
      <w:proofErr w:type="spellStart"/>
      <w:r w:rsidRPr="00931B65">
        <w:rPr>
          <w:rFonts w:cs="Times New Roman"/>
          <w:color w:val="000000"/>
          <w:sz w:val="24"/>
          <w:szCs w:val="24"/>
        </w:rPr>
        <w:t>transection</w:t>
      </w:r>
      <w:proofErr w:type="spellEnd"/>
      <w:r w:rsidRPr="00931B65">
        <w:rPr>
          <w:rFonts w:cs="Times New Roman"/>
          <w:color w:val="000000"/>
          <w:sz w:val="24"/>
          <w:szCs w:val="24"/>
        </w:rPr>
        <w:t xml:space="preserve">, compression, </w:t>
      </w:r>
      <w:proofErr w:type="gramStart"/>
      <w:r w:rsidRPr="00931B65">
        <w:rPr>
          <w:rFonts w:cs="Times New Roman"/>
          <w:color w:val="000000"/>
          <w:sz w:val="24"/>
          <w:szCs w:val="24"/>
        </w:rPr>
        <w:t>swelling</w:t>
      </w:r>
      <w:proofErr w:type="gramEnd"/>
      <w:r w:rsidRPr="00931B65">
        <w:rPr>
          <w:rFonts w:cs="Times New Roman"/>
          <w:color w:val="000000"/>
          <w:sz w:val="24"/>
          <w:szCs w:val="24"/>
        </w:rPr>
        <w:t xml:space="preserve">). Because MRI possesses the unique capability to non-invasively depict the damaged substructure of the spinal cord, the SCI working group advocates that the CDE </w:t>
      </w:r>
      <w:r w:rsidR="002E3A5A">
        <w:rPr>
          <w:rFonts w:cs="Times New Roman"/>
          <w:color w:val="000000"/>
          <w:sz w:val="24"/>
          <w:szCs w:val="24"/>
        </w:rPr>
        <w:t xml:space="preserve">imaging features </w:t>
      </w:r>
      <w:r w:rsidRPr="00931B65">
        <w:rPr>
          <w:rFonts w:cs="Times New Roman"/>
          <w:color w:val="000000"/>
          <w:sz w:val="24"/>
          <w:szCs w:val="24"/>
        </w:rPr>
        <w:t xml:space="preserve">for SCI described herein be derived </w:t>
      </w:r>
      <w:r w:rsidRPr="00931B65">
        <w:rPr>
          <w:rFonts w:cs="Times New Roman"/>
          <w:color w:val="000000"/>
          <w:sz w:val="24"/>
          <w:szCs w:val="24"/>
          <w:u w:val="single"/>
        </w:rPr>
        <w:t>only</w:t>
      </w:r>
      <w:r w:rsidRPr="00931B65">
        <w:rPr>
          <w:rFonts w:cs="Times New Roman"/>
          <w:color w:val="000000"/>
          <w:sz w:val="24"/>
          <w:szCs w:val="24"/>
        </w:rPr>
        <w:t xml:space="preserve"> from MRI datasets. The CDE SCI </w:t>
      </w:r>
      <w:r w:rsidR="00463FF5">
        <w:rPr>
          <w:rFonts w:cs="Times New Roman"/>
          <w:color w:val="000000"/>
          <w:sz w:val="24"/>
          <w:szCs w:val="24"/>
        </w:rPr>
        <w:t>essential</w:t>
      </w:r>
      <w:r w:rsidRPr="00931B65">
        <w:rPr>
          <w:rFonts w:cs="Times New Roman"/>
          <w:color w:val="000000"/>
          <w:sz w:val="24"/>
          <w:szCs w:val="24"/>
        </w:rPr>
        <w:t xml:space="preserve"> </w:t>
      </w:r>
      <w:r w:rsidR="00737AED">
        <w:rPr>
          <w:rFonts w:cs="Times New Roman"/>
          <w:color w:val="000000"/>
          <w:sz w:val="24"/>
          <w:szCs w:val="24"/>
        </w:rPr>
        <w:t>imaging features represent</w:t>
      </w:r>
      <w:r w:rsidRPr="00931B65">
        <w:rPr>
          <w:rFonts w:cs="Times New Roman"/>
          <w:color w:val="000000"/>
          <w:sz w:val="24"/>
          <w:szCs w:val="24"/>
        </w:rPr>
        <w:t xml:space="preserve"> anatomic findings that are routinely discernible on commercial MR</w:t>
      </w:r>
      <w:r w:rsidR="00AE3AFE">
        <w:rPr>
          <w:rFonts w:cs="Times New Roman"/>
          <w:color w:val="000000"/>
          <w:sz w:val="24"/>
          <w:szCs w:val="24"/>
        </w:rPr>
        <w:t>I</w:t>
      </w:r>
      <w:r w:rsidRPr="00931B65">
        <w:rPr>
          <w:rFonts w:cs="Times New Roman"/>
          <w:color w:val="000000"/>
          <w:sz w:val="24"/>
          <w:szCs w:val="24"/>
        </w:rPr>
        <w:t xml:space="preserve"> platforms. We include</w:t>
      </w:r>
      <w:r w:rsidR="00027DEA">
        <w:rPr>
          <w:rFonts w:cs="Times New Roman"/>
          <w:color w:val="000000"/>
          <w:sz w:val="24"/>
          <w:szCs w:val="24"/>
        </w:rPr>
        <w:t xml:space="preserve"> diffusion tensor imaging</w:t>
      </w:r>
      <w:r w:rsidRPr="00931B65">
        <w:rPr>
          <w:rFonts w:cs="Times New Roman"/>
          <w:color w:val="000000"/>
          <w:sz w:val="24"/>
          <w:szCs w:val="24"/>
        </w:rPr>
        <w:t xml:space="preserve"> </w:t>
      </w:r>
      <w:r w:rsidR="00027DEA">
        <w:rPr>
          <w:rFonts w:cs="Times New Roman"/>
          <w:color w:val="000000"/>
          <w:sz w:val="24"/>
          <w:szCs w:val="24"/>
        </w:rPr>
        <w:t>(</w:t>
      </w:r>
      <w:r w:rsidRPr="00931B65">
        <w:rPr>
          <w:rFonts w:cs="Times New Roman"/>
          <w:color w:val="000000"/>
          <w:sz w:val="24"/>
          <w:szCs w:val="24"/>
        </w:rPr>
        <w:t>DTI</w:t>
      </w:r>
      <w:r w:rsidR="00027DEA">
        <w:rPr>
          <w:rFonts w:cs="Times New Roman"/>
          <w:color w:val="000000"/>
          <w:sz w:val="24"/>
          <w:szCs w:val="24"/>
        </w:rPr>
        <w:t>)</w:t>
      </w:r>
      <w:r w:rsidRPr="00931B65">
        <w:rPr>
          <w:rFonts w:cs="Times New Roman"/>
          <w:color w:val="000000"/>
          <w:sz w:val="24"/>
          <w:szCs w:val="24"/>
        </w:rPr>
        <w:t xml:space="preserve"> as part of the </w:t>
      </w:r>
      <w:r w:rsidR="00463FF5">
        <w:rPr>
          <w:rFonts w:cs="Times New Roman"/>
          <w:color w:val="000000"/>
          <w:sz w:val="24"/>
          <w:szCs w:val="24"/>
        </w:rPr>
        <w:t>essential</w:t>
      </w:r>
      <w:r w:rsidRPr="00931B65">
        <w:rPr>
          <w:rFonts w:cs="Times New Roman"/>
          <w:color w:val="000000"/>
          <w:sz w:val="24"/>
          <w:szCs w:val="24"/>
        </w:rPr>
        <w:t xml:space="preserve"> imaging</w:t>
      </w:r>
      <w:r w:rsidR="00737AED">
        <w:rPr>
          <w:rFonts w:cs="Times New Roman"/>
          <w:color w:val="000000"/>
          <w:sz w:val="24"/>
          <w:szCs w:val="24"/>
        </w:rPr>
        <w:t xml:space="preserve"> features</w:t>
      </w:r>
      <w:r w:rsidRPr="00931B65">
        <w:rPr>
          <w:rFonts w:cs="Times New Roman"/>
          <w:color w:val="000000"/>
          <w:sz w:val="24"/>
          <w:szCs w:val="24"/>
        </w:rPr>
        <w:t xml:space="preserve"> as this technology has matured sufficiently that it is available and feasible to utilize on most modern clinical systems at or about 1.5 Tesla.</w:t>
      </w:r>
    </w:p>
    <w:p w:rsidR="00411227" w:rsidRPr="00B14ED0" w:rsidRDefault="00931B65" w:rsidP="00097F34">
      <w:pPr>
        <w:spacing w:before="120" w:after="60"/>
        <w:rPr>
          <w:rFonts w:cs="Times New Roman"/>
          <w:sz w:val="24"/>
          <w:szCs w:val="24"/>
        </w:rPr>
      </w:pPr>
      <w:r w:rsidRPr="00B14ED0">
        <w:rPr>
          <w:rFonts w:cs="Times New Roman"/>
          <w:color w:val="000000"/>
          <w:sz w:val="24"/>
          <w:szCs w:val="24"/>
        </w:rPr>
        <w:t>In addition</w:t>
      </w:r>
      <w:r w:rsidR="009B2802" w:rsidRPr="00B14ED0">
        <w:rPr>
          <w:rFonts w:cs="Times New Roman"/>
          <w:color w:val="000000"/>
          <w:sz w:val="24"/>
          <w:szCs w:val="24"/>
        </w:rPr>
        <w:t xml:space="preserve"> to the common imaging methods</w:t>
      </w:r>
      <w:r w:rsidRPr="00B14ED0">
        <w:rPr>
          <w:rFonts w:cs="Times New Roman"/>
          <w:color w:val="000000"/>
          <w:sz w:val="24"/>
          <w:szCs w:val="24"/>
        </w:rPr>
        <w:t>, t</w:t>
      </w:r>
      <w:r w:rsidR="009A4235" w:rsidRPr="00B14ED0">
        <w:rPr>
          <w:rFonts w:cs="Times New Roman"/>
          <w:color w:val="000000"/>
          <w:sz w:val="24"/>
          <w:szCs w:val="24"/>
        </w:rPr>
        <w:t>here are several imaging techniques that are highly experimental or under development, such as</w:t>
      </w:r>
      <w:r w:rsidRPr="00B14ED0">
        <w:rPr>
          <w:rFonts w:cs="Times New Roman"/>
          <w:color w:val="000000"/>
          <w:sz w:val="24"/>
          <w:szCs w:val="24"/>
        </w:rPr>
        <w:t xml:space="preserve"> computed tomography angiography (CTA), magnetic resonance angiogram (MRA), magnetization transfer (MT), functional magnetic resonance imaging (fMRI), perfusion, spectroscopy, myelin water fraction imaging, and other diffusion methods such as diffusional kurtosis imaging (DKI).</w:t>
      </w:r>
      <w:r w:rsidR="00097F34">
        <w:rPr>
          <w:rFonts w:cs="Times New Roman"/>
          <w:color w:val="000000"/>
          <w:sz w:val="24"/>
          <w:szCs w:val="24"/>
        </w:rPr>
        <w:t xml:space="preserve"> </w:t>
      </w:r>
      <w:r w:rsidR="009A4235" w:rsidRPr="00B14ED0">
        <w:rPr>
          <w:rFonts w:cs="Times New Roman"/>
          <w:color w:val="000000"/>
          <w:sz w:val="24"/>
          <w:szCs w:val="24"/>
        </w:rPr>
        <w:t xml:space="preserve">Since these recommendations </w:t>
      </w:r>
      <w:r w:rsidR="00667C0D" w:rsidRPr="00B14ED0">
        <w:rPr>
          <w:rFonts w:cs="Times New Roman"/>
          <w:color w:val="000000"/>
          <w:sz w:val="24"/>
          <w:szCs w:val="24"/>
        </w:rPr>
        <w:t>have not yet been s</w:t>
      </w:r>
      <w:r w:rsidR="00465F27" w:rsidRPr="00B14ED0">
        <w:rPr>
          <w:rFonts w:cs="Times New Roman"/>
          <w:color w:val="000000"/>
          <w:sz w:val="24"/>
          <w:szCs w:val="24"/>
        </w:rPr>
        <w:t>tandardized or validated for this general</w:t>
      </w:r>
      <w:r w:rsidR="00667C0D" w:rsidRPr="00B14ED0">
        <w:rPr>
          <w:rFonts w:cs="Times New Roman"/>
          <w:color w:val="000000"/>
          <w:sz w:val="24"/>
          <w:szCs w:val="24"/>
        </w:rPr>
        <w:t xml:space="preserve"> population,</w:t>
      </w:r>
      <w:r w:rsidR="00027DEA">
        <w:rPr>
          <w:rFonts w:cs="Times New Roman"/>
          <w:color w:val="000000"/>
          <w:sz w:val="24"/>
          <w:szCs w:val="24"/>
        </w:rPr>
        <w:t xml:space="preserve"> </w:t>
      </w:r>
      <w:r w:rsidR="009A4235" w:rsidRPr="00B14ED0">
        <w:rPr>
          <w:rFonts w:cs="Times New Roman"/>
          <w:color w:val="000000"/>
          <w:sz w:val="24"/>
          <w:szCs w:val="24"/>
        </w:rPr>
        <w:t>no recommendations</w:t>
      </w:r>
      <w:r w:rsidR="002E5EE0" w:rsidRPr="00B14ED0">
        <w:rPr>
          <w:rFonts w:cs="Times New Roman"/>
          <w:color w:val="000000"/>
          <w:sz w:val="24"/>
          <w:szCs w:val="24"/>
        </w:rPr>
        <w:t xml:space="preserve"> regarding these techniques</w:t>
      </w:r>
      <w:r w:rsidR="009A4235" w:rsidRPr="00B14ED0">
        <w:rPr>
          <w:rFonts w:cs="Times New Roman"/>
          <w:color w:val="000000"/>
          <w:sz w:val="24"/>
          <w:szCs w:val="24"/>
        </w:rPr>
        <w:t xml:space="preserve"> </w:t>
      </w:r>
      <w:r w:rsidR="00027DEA">
        <w:rPr>
          <w:rFonts w:cs="Times New Roman"/>
          <w:color w:val="000000"/>
          <w:sz w:val="24"/>
          <w:szCs w:val="24"/>
        </w:rPr>
        <w:t>are</w:t>
      </w:r>
      <w:r w:rsidR="009A4235" w:rsidRPr="00B14ED0">
        <w:rPr>
          <w:rFonts w:cs="Times New Roman"/>
          <w:color w:val="000000"/>
          <w:sz w:val="24"/>
          <w:szCs w:val="24"/>
        </w:rPr>
        <w:t xml:space="preserve"> made at this time. </w:t>
      </w:r>
    </w:p>
    <w:p w:rsidR="009A4235" w:rsidRPr="00B14ED0" w:rsidRDefault="009A4235" w:rsidP="00097F34">
      <w:pPr>
        <w:spacing w:before="120" w:after="60"/>
        <w:rPr>
          <w:rFonts w:eastAsia="Times New Roman" w:cs="Times New Roman"/>
          <w:sz w:val="24"/>
          <w:szCs w:val="24"/>
        </w:rPr>
      </w:pPr>
    </w:p>
    <w:p w:rsidR="00411227" w:rsidRPr="00097F34" w:rsidRDefault="00411227" w:rsidP="00097F34">
      <w:pPr>
        <w:pStyle w:val="Heading2"/>
        <w:spacing w:before="120" w:after="60"/>
        <w:rPr>
          <w:sz w:val="22"/>
          <w:szCs w:val="22"/>
        </w:rPr>
      </w:pPr>
      <w:r w:rsidRPr="00097F34">
        <w:rPr>
          <w:sz w:val="22"/>
          <w:szCs w:val="22"/>
        </w:rPr>
        <w:t>Specific MR imaging guidelines with respect to SCI for consideration:</w:t>
      </w:r>
    </w:p>
    <w:p w:rsidR="00411227" w:rsidRPr="00097F34" w:rsidRDefault="00411227" w:rsidP="00097F34">
      <w:pPr>
        <w:numPr>
          <w:ilvl w:val="0"/>
          <w:numId w:val="1"/>
        </w:numPr>
        <w:spacing w:before="120" w:after="60"/>
        <w:textAlignment w:val="baseline"/>
        <w:rPr>
          <w:rFonts w:cs="Times New Roman"/>
          <w:color w:val="000000"/>
          <w:sz w:val="24"/>
          <w:szCs w:val="24"/>
        </w:rPr>
      </w:pPr>
      <w:r w:rsidRPr="00097F34">
        <w:rPr>
          <w:rFonts w:cs="Times New Roman"/>
          <w:bCs/>
          <w:color w:val="000000"/>
          <w:sz w:val="24"/>
          <w:szCs w:val="24"/>
        </w:rPr>
        <w:t xml:space="preserve">Injury to Imaging Time: </w:t>
      </w:r>
      <w:r w:rsidRPr="00097F34">
        <w:rPr>
          <w:rFonts w:cs="Times New Roman"/>
          <w:color w:val="000000"/>
          <w:sz w:val="24"/>
          <w:szCs w:val="24"/>
        </w:rPr>
        <w:t xml:space="preserve">The injury </w:t>
      </w:r>
      <w:r w:rsidR="00B37C35">
        <w:rPr>
          <w:rFonts w:cs="Times New Roman"/>
          <w:color w:val="000000"/>
          <w:sz w:val="24"/>
          <w:szCs w:val="24"/>
        </w:rPr>
        <w:t>to</w:t>
      </w:r>
      <w:r w:rsidRPr="00097F34">
        <w:rPr>
          <w:rFonts w:cs="Times New Roman"/>
          <w:color w:val="000000"/>
          <w:sz w:val="24"/>
          <w:szCs w:val="24"/>
        </w:rPr>
        <w:t xml:space="preserve"> imaging time interval is a factor in the assessment of the length</w:t>
      </w:r>
      <w:r w:rsidR="00097F34">
        <w:rPr>
          <w:rFonts w:cs="Times New Roman"/>
          <w:color w:val="000000"/>
          <w:sz w:val="24"/>
          <w:szCs w:val="24"/>
        </w:rPr>
        <w:t xml:space="preserve"> of spinal cord injury on MRI. </w:t>
      </w:r>
      <w:r w:rsidRPr="00097F34">
        <w:rPr>
          <w:rFonts w:cs="Times New Roman"/>
          <w:color w:val="000000"/>
          <w:sz w:val="24"/>
          <w:szCs w:val="24"/>
        </w:rPr>
        <w:t>Spinal cord edema is a</w:t>
      </w:r>
      <w:r w:rsidR="00097F34">
        <w:rPr>
          <w:rFonts w:cs="Times New Roman"/>
          <w:color w:val="000000"/>
          <w:sz w:val="24"/>
          <w:szCs w:val="24"/>
        </w:rPr>
        <w:t xml:space="preserve"> dynamic process after injury. </w:t>
      </w:r>
      <w:r w:rsidRPr="00097F34">
        <w:rPr>
          <w:rFonts w:cs="Times New Roman"/>
          <w:color w:val="000000"/>
          <w:sz w:val="24"/>
          <w:szCs w:val="24"/>
        </w:rPr>
        <w:t xml:space="preserve">The longitudinal extent of edema may increase by as much the height </w:t>
      </w:r>
      <w:r w:rsidR="00097F34">
        <w:rPr>
          <w:rFonts w:cs="Times New Roman"/>
          <w:color w:val="000000"/>
          <w:sz w:val="24"/>
          <w:szCs w:val="24"/>
        </w:rPr>
        <w:t xml:space="preserve">of one vertebral body per day. </w:t>
      </w:r>
      <w:r w:rsidRPr="00097F34">
        <w:rPr>
          <w:rFonts w:cs="Times New Roman"/>
          <w:color w:val="000000"/>
          <w:sz w:val="24"/>
          <w:szCs w:val="24"/>
        </w:rPr>
        <w:t>Therefore the length of the lesion may increase over a period of days without an associa</w:t>
      </w:r>
      <w:r w:rsidR="00097F34">
        <w:rPr>
          <w:rFonts w:cs="Times New Roman"/>
          <w:color w:val="000000"/>
          <w:sz w:val="24"/>
          <w:szCs w:val="24"/>
        </w:rPr>
        <w:t xml:space="preserve">ted change in clinical status. </w:t>
      </w:r>
      <w:r w:rsidRPr="00097F34">
        <w:rPr>
          <w:rFonts w:cs="Times New Roman"/>
          <w:color w:val="000000"/>
          <w:sz w:val="24"/>
          <w:szCs w:val="24"/>
        </w:rPr>
        <w:t>An important corollary to this observation is that two lesions of different lengths may produce the same neurologic deficit when imaged at different times after injury (</w:t>
      </w:r>
      <w:proofErr w:type="spellStart"/>
      <w:r w:rsidRPr="00097F34">
        <w:rPr>
          <w:rFonts w:cs="Times New Roman"/>
          <w:color w:val="000000"/>
          <w:sz w:val="24"/>
          <w:szCs w:val="24"/>
        </w:rPr>
        <w:t>Leypold</w:t>
      </w:r>
      <w:proofErr w:type="spellEnd"/>
      <w:r w:rsidR="00E85296">
        <w:rPr>
          <w:rFonts w:cs="Times New Roman"/>
          <w:color w:val="000000"/>
          <w:sz w:val="24"/>
          <w:szCs w:val="24"/>
        </w:rPr>
        <w:t>, et al.</w:t>
      </w:r>
      <w:r w:rsidRPr="00097F34">
        <w:rPr>
          <w:rFonts w:cs="Times New Roman"/>
          <w:color w:val="000000"/>
          <w:sz w:val="24"/>
          <w:szCs w:val="24"/>
        </w:rPr>
        <w:t xml:space="preserve"> </w:t>
      </w:r>
      <w:r w:rsidR="00E85296" w:rsidRPr="00097F34">
        <w:rPr>
          <w:rFonts w:cs="Times New Roman"/>
          <w:color w:val="000000"/>
          <w:sz w:val="24"/>
          <w:szCs w:val="24"/>
        </w:rPr>
        <w:t>20</w:t>
      </w:r>
      <w:r w:rsidR="00E85296">
        <w:rPr>
          <w:rFonts w:cs="Times New Roman"/>
          <w:color w:val="000000"/>
          <w:sz w:val="24"/>
          <w:szCs w:val="24"/>
        </w:rPr>
        <w:t>08</w:t>
      </w:r>
      <w:r w:rsidRPr="00097F34">
        <w:rPr>
          <w:rFonts w:cs="Times New Roman"/>
          <w:color w:val="000000"/>
          <w:sz w:val="24"/>
          <w:szCs w:val="24"/>
        </w:rPr>
        <w:t>).</w:t>
      </w:r>
      <w:r w:rsidR="00ED0B28">
        <w:rPr>
          <w:rFonts w:cs="Times New Roman"/>
          <w:color w:val="000000"/>
          <w:sz w:val="24"/>
          <w:szCs w:val="24"/>
        </w:rPr>
        <w:fldChar w:fldCharType="begin"/>
      </w:r>
      <w:r w:rsidR="00902491">
        <w:rPr>
          <w:rFonts w:cs="Times New Roman"/>
          <w:color w:val="000000"/>
          <w:sz w:val="24"/>
          <w:szCs w:val="24"/>
        </w:rPr>
        <w:instrText xml:space="preserve"> ADDIN EN.CITE &lt;EndNote&gt;&lt;Cite&gt;&lt;Author&gt;Leypold&lt;/Author&gt;&lt;Year&gt;2008&lt;/Year&gt;&lt;RecNum&gt;1861&lt;/RecNum&gt;&lt;DisplayText&gt;(Leypold, Flanders, &amp;amp; Burns, 2008)&lt;/DisplayText&gt;&lt;record&gt;&lt;rec-number&gt;1861&lt;/rec-number&gt;&lt;foreign-keys&gt;&lt;key app="EN" db-id="0ewa59v092spwfe2zv0xrszka2w9pxzzz2sf" timestamp="1453403420"&gt;1861&lt;/key&gt;&lt;/foreign-keys&gt;&lt;ref-type name="Journal Article"&gt;17&lt;/ref-type&gt;&lt;contributors&gt;&lt;authors&gt;&lt;author&gt;Leypold, B. G.&lt;/author&gt;&lt;author&gt;Flanders, A. E.&lt;/author&gt;&lt;author&gt;Burns, A. S.&lt;/author&gt;&lt;/authors&gt;&lt;/contributors&gt;&lt;auth-address&gt;Department of Radiology/Neuroradiology, Thomas Jefferson University Hospital, Philadelphia, PA 19107-5244, USA. bradley.leypold@mail.tju.edu&lt;/auth-address&gt;&lt;titles&gt;&lt;title&gt;The early evolution of spinal cord lesions on MR imaging following traumatic spinal cord injury&lt;/title&gt;&lt;secondary-title&gt;AJNR Am J Neuroradiol&lt;/secondary-title&gt;&lt;alt-title&gt;AJNR. American journal of neuroradiology&lt;/alt-title&gt;&lt;/titles&gt;&lt;periodical&gt;&lt;full-title&gt;AJNR Am J Neuroradiol&lt;/full-title&gt;&lt;abbr-1&gt;AJNR. American journal of neuroradiology&lt;/abbr-1&gt;&lt;/periodical&gt;&lt;alt-periodical&gt;&lt;full-title&gt;AJNR Am J Neuroradiol&lt;/full-title&gt;&lt;abbr-1&gt;AJNR. American journal of neuroradiology&lt;/abbr-1&gt;&lt;/alt-periodical&gt;&lt;pages&gt;1012-6&lt;/pages&gt;&lt;volume&gt;29&lt;/volume&gt;&lt;number&gt;5&lt;/number&gt;&lt;edition&gt;2008/02/26&lt;/edition&gt;&lt;keywords&gt;&lt;keyword&gt;Cervical Vertebrae/*pathology&lt;/keyword&gt;&lt;keyword&gt;Edema/*pathology&lt;/keyword&gt;&lt;keyword&gt;Female&lt;/keyword&gt;&lt;keyword&gt;Hematoma, Epidural, Spinal/*pathology&lt;/keyword&gt;&lt;keyword&gt;Humans&lt;/keyword&gt;&lt;keyword&gt;Magnetic Resonance Imaging/*methods&lt;/keyword&gt;&lt;keyword&gt;Male&lt;/keyword&gt;&lt;keyword&gt;Middle Aged&lt;/keyword&gt;&lt;keyword&gt;Spinal Cord/*pathology&lt;/keyword&gt;&lt;keyword&gt;Spinal Cord Injuries/*pathology&lt;/keyword&gt;&lt;keyword&gt;xSCI-Peds&lt;/keyword&gt;&lt;/keywords&gt;&lt;dates&gt;&lt;year&gt;2008&lt;/year&gt;&lt;pub-dates&gt;&lt;date&gt;May&lt;/date&gt;&lt;/pub-dates&gt;&lt;/dates&gt;&lt;isbn&gt;0195-6108&lt;/isbn&gt;&lt;accession-num&gt;18296550&lt;/accession-num&gt;&lt;urls&gt;&lt;/urls&gt;&lt;electronic-resource-num&gt;10.3174/ajnr.A0962&lt;/electronic-resource-num&gt;&lt;remote-database-provider&gt;NLM&lt;/remote-database-provider&gt;&lt;language&gt;eng&lt;/language&gt;&lt;/record&gt;&lt;/Cite&gt;&lt;/EndNote&gt;</w:instrText>
      </w:r>
      <w:r w:rsidR="00ED0B28">
        <w:rPr>
          <w:rFonts w:cs="Times New Roman"/>
          <w:color w:val="000000"/>
          <w:sz w:val="24"/>
          <w:szCs w:val="24"/>
        </w:rPr>
        <w:fldChar w:fldCharType="separate"/>
      </w:r>
      <w:r w:rsidR="00902491">
        <w:rPr>
          <w:rFonts w:cs="Times New Roman"/>
          <w:noProof/>
          <w:color w:val="000000"/>
          <w:sz w:val="24"/>
          <w:szCs w:val="24"/>
        </w:rPr>
        <w:t>(</w:t>
      </w:r>
      <w:proofErr w:type="spellStart"/>
      <w:r w:rsidR="00902491">
        <w:rPr>
          <w:rFonts w:cs="Times New Roman"/>
          <w:noProof/>
          <w:color w:val="000000"/>
          <w:sz w:val="24"/>
          <w:szCs w:val="24"/>
        </w:rPr>
        <w:t>Leypold</w:t>
      </w:r>
      <w:proofErr w:type="spellEnd"/>
      <w:r w:rsidR="00902491">
        <w:rPr>
          <w:rFonts w:cs="Times New Roman"/>
          <w:noProof/>
          <w:color w:val="000000"/>
          <w:sz w:val="24"/>
          <w:szCs w:val="24"/>
        </w:rPr>
        <w:t>, Flanders, &amp; Burns, 2008)</w:t>
      </w:r>
      <w:r w:rsidR="00ED0B28">
        <w:rPr>
          <w:rFonts w:cs="Times New Roman"/>
          <w:color w:val="000000"/>
          <w:sz w:val="24"/>
          <w:szCs w:val="24"/>
        </w:rPr>
        <w:fldChar w:fldCharType="end"/>
      </w:r>
    </w:p>
    <w:p w:rsidR="00411227" w:rsidRPr="00097F34" w:rsidRDefault="00411227" w:rsidP="00097F34">
      <w:pPr>
        <w:numPr>
          <w:ilvl w:val="0"/>
          <w:numId w:val="1"/>
        </w:numPr>
        <w:spacing w:before="120" w:after="60"/>
        <w:textAlignment w:val="baseline"/>
        <w:rPr>
          <w:rFonts w:cs="Times New Roman"/>
          <w:color w:val="000000"/>
          <w:sz w:val="24"/>
          <w:szCs w:val="24"/>
        </w:rPr>
      </w:pPr>
      <w:r w:rsidRPr="00097F34">
        <w:rPr>
          <w:rFonts w:cs="Times New Roman"/>
          <w:bCs/>
          <w:color w:val="000000"/>
          <w:sz w:val="24"/>
          <w:szCs w:val="24"/>
        </w:rPr>
        <w:t>Methylprednisolone:</w:t>
      </w:r>
      <w:r w:rsidRPr="00097F34">
        <w:rPr>
          <w:rFonts w:cs="Times New Roman"/>
          <w:color w:val="000000"/>
          <w:sz w:val="24"/>
          <w:szCs w:val="24"/>
        </w:rPr>
        <w:t xml:space="preserve"> While the therapeutic benefits of methylprednisolone in the setting of acute SCI are controversial, there is some evidence that early administration of MPS in the doses advocated by Bracken et al.</w:t>
      </w:r>
      <w:r w:rsidR="002F439C">
        <w:rPr>
          <w:rFonts w:cs="Times New Roman"/>
          <w:color w:val="000000"/>
          <w:sz w:val="24"/>
          <w:szCs w:val="24"/>
        </w:rPr>
        <w:t xml:space="preserve"> </w:t>
      </w:r>
      <w:r w:rsidR="00ED0B28">
        <w:rPr>
          <w:rFonts w:cs="Times New Roman"/>
          <w:color w:val="000000"/>
          <w:sz w:val="24"/>
          <w:szCs w:val="24"/>
        </w:rPr>
        <w:fldChar w:fldCharType="begin">
          <w:fldData xml:space="preserve">PEVuZE5vdGU+PENpdGU+PEF1dGhvcj5CcmFja2VuPC9BdXRob3I+PFllYXI+MTk5NzwvWWVhcj48
UmVjTnVtPjE4NzA8L1JlY051bT48RGlzcGxheVRleHQ+KEJyYWNrZW4gZXQgYWwuLCAxOTk3OyBC
cmFja2VuIGV0IGFsLiwgMTk5OCk8L0Rpc3BsYXlUZXh0PjxyZWNvcmQ+PHJlYy1udW1iZXI+MTg3
MDwvcmVjLW51bWJlcj48Zm9yZWlnbi1rZXlzPjxrZXkgYXBwPSJFTiIgZGItaWQ9IjBld2E1OXYw
OTJzcHdmZTJ6djB4cnN6a2EydzlweHp6ejJzZiIgdGltZXN0YW1wPSIxNDUzNDAzNzE1Ij4xODcw
PC9rZXk+PC9mb3JlaWduLWtleXM+PHJlZi10eXBlIG5hbWU9IkpvdXJuYWwgQXJ0aWNsZSI+MTc8
L3JlZi10eXBlPjxjb250cmlidXRvcnM+PGF1dGhvcnM+PGF1dGhvcj5CcmFja2VuLCBNLiBCLjwv
YXV0aG9yPjxhdXRob3I+U2hlcGFyZCwgTS4gSi48L2F1dGhvcj48YXV0aG9yPkhvbGZvcmQsIFQu
IFIuPC9hdXRob3I+PGF1dGhvcj5MZW8tU3VtbWVycywgTC48L2F1dGhvcj48YXV0aG9yPkFsZHJp
Y2gsIEUuIEYuPC9hdXRob3I+PGF1dGhvcj5GYXpsLCBNLjwvYXV0aG9yPjxhdXRob3I+RmVobGlu
Z3MsIE0uPC9hdXRob3I+PGF1dGhvcj5IZXJyLCBELiBMLjwvYXV0aG9yPjxhdXRob3I+SGl0Y2hv
biwgUC4gVy48L2F1dGhvcj48YXV0aG9yPk1hcnNoYWxsLCBMLiBGLjwvYXV0aG9yPjxhdXRob3I+
Tm9ja2VscywgUi4gUC48L2F1dGhvcj48YXV0aG9yPlBhc2NhbGUsIFYuPC9hdXRob3I+PGF1dGhv
cj5QZXJvdCwgUC4gTC4sIEpyLjwvYXV0aG9yPjxhdXRob3I+UGllcG1laWVyLCBKLjwvYXV0aG9y
PjxhdXRob3I+U29ubnRhZywgVi4gSy48L2F1dGhvcj48YXV0aG9yPldhZ25lciwgRi48L2F1dGhv
cj48YXV0aG9yPldpbGJlcmdlciwgSi4gRS48L2F1dGhvcj48YXV0aG9yPldpbm4sIEguIFIuPC9h
dXRob3I+PGF1dGhvcj5Zb3VuZywgVy48L2F1dGhvcj48L2F1dGhvcnM+PC9jb250cmlidXRvcnM+
PHRpdGxlcz48dGl0bGU+QWRtaW5pc3RyYXRpb24gb2YgbWV0aHlscHJlZG5pc29sb25lIGZvciAy
NCBvciA0OCBob3VycyBvciB0aXJpbGF6YWQgbWVzeWxhdGUgZm9yIDQ4IGhvdXJzIGluIHRoZSB0
cmVhdG1lbnQgb2YgYWN1dGUgc3BpbmFsIGNvcmQgaW5qdXJ5LiBSZXN1bHRzIG9mIHRoZSBUaGly
ZCBOYXRpb25hbCBBY3V0ZSBTcGluYWwgQ29yZCBJbmp1cnkgUmFuZG9taXplZCBDb250cm9sbGVk
IFRyaWFsLiBOYXRpb25hbCBBY3V0ZSBTcGluYWwgQ29yZCBJbmp1cnkgU3R1ZHk8L3RpdGxlPjxz
ZWNvbmRhcnktdGl0bGU+SmFtYTwvc2Vjb25kYXJ5LXRpdGxlPjxhbHQtdGl0bGU+SmFtYTwvYWx0
LXRpdGxlPjwvdGl0bGVzPjxwZXJpb2RpY2FsPjxmdWxsLXRpdGxlPkphbWE8L2Z1bGwtdGl0bGU+
PGFiYnItMT5KYW1hPC9hYmJyLTE+PC9wZXJpb2RpY2FsPjxhbHQtcGVyaW9kaWNhbD48ZnVsbC10
aXRsZT5KYW1hPC9mdWxsLXRpdGxlPjxhYmJyLTE+SmFtYTwvYWJici0xPjwvYWx0LXBlcmlvZGlj
YWw+PHBhZ2VzPjE1OTctNjA0PC9wYWdlcz48dm9sdW1lPjI3Nzwvdm9sdW1lPjxudW1iZXI+MjA8
L251bWJlcj48ZWRpdGlvbj4xOTk3LzA1LzI4PC9lZGl0aW9uPjxrZXl3b3Jkcz48a2V5d29yZD5B
ZG9sZXNjZW50PC9rZXl3b3JkPjxrZXl3b3JkPkFkdWx0PC9rZXl3b3JkPjxrZXl3b3JkPkFuYWx5
c2lzIG9mIFZhcmlhbmNlPC9rZXl3b3JkPjxrZXl3b3JkPkRvdWJsZS1CbGluZCBNZXRob2Q8L2tl
eXdvcmQ+PGtleXdvcmQ+RHJ1ZyBBZG1pbmlzdHJhdGlvbiBTY2hlZHVsZTwva2V5d29yZD48a2V5
d29yZD5FbWVyZ2VuY2llczwva2V5d29yZD48a2V5d29yZD5GZW1hbGU8L2tleXdvcmQ+PGtleXdv
cmQ+SHVtYW5zPC9rZXl3b3JkPjxrZXl3b3JkPkluanVyeSBTZXZlcml0eSBTY29yZTwva2V5d29y
ZD48a2V5d29yZD5NYWxlPC9rZXl3b3JkPjxrZXl3b3JkPk1ldGh5bHByZWRuaXNvbG9uZS9hZG1p
bmlzdHJhdGlvbiAmYW1wOyBkb3NhZ2UvKnRoZXJhcGV1dGljIHVzZTwva2V5d29yZD48a2V5d29y
ZD5NaWRkbGUgQWdlZDwva2V5d29yZD48a2V5d29yZD5OZXVyb3Byb3RlY3RpdmUgQWdlbnRzL2Fk
bWluaXN0cmF0aW9uICZhbXA7IGRvc2FnZS8qdGhlcmFwZXV0aWMgdXNlPC9rZXl3b3JkPjxrZXl3
b3JkPlByZWduYXRyaWVuZXMvYWRtaW5pc3RyYXRpb24gJmFtcDsgZG9zYWdlLyp0aGVyYXBldXRp
YyB1c2U8L2tleXdvcmQ+PGtleXdvcmQ+U3BpbmFsIENvcmQgSW5qdXJpZXMvY29tcGxpY2F0aW9u
cy8qZHJ1ZyB0aGVyYXB5L3BoeXNpb3BhdGhvbG9neTwva2V5d29yZD48a2V5d29yZD5UaW1lIEZh
Y3RvcnN4U0NJLVBlZHM8L2tleXdvcmQ+PC9rZXl3b3Jkcz48ZGF0ZXM+PHllYXI+MTk5NzwveWVh
cj48cHViLWRhdGVzPjxkYXRlPk1heSAyODwvZGF0ZT48L3B1Yi1kYXRlcz48L2RhdGVzPjxpc2Ju
PjAwOTgtNzQ4NCAoUHJpbnQpJiN4RDswMDk4LTc0ODQ8L2lzYm4+PGFjY2Vzc2lvbi1udW0+OTE2
ODI4OTwvYWNjZXNzaW9uLW51bT48dXJscz48L3VybHM+PHJlbW90ZS1kYXRhYmFzZS1wcm92aWRl
cj5OTE08L3JlbW90ZS1kYXRhYmFzZS1wcm92aWRlcj48bGFuZ3VhZ2U+ZW5nPC9sYW5ndWFnZT48
L3JlY29yZD48L0NpdGU+PENpdGU+PEF1dGhvcj5CcmFja2VuPC9BdXRob3I+PFllYXI+MTk5ODwv
WWVhcj48UmVjTnVtPjE4Njk8L1JlY051bT48cmVjb3JkPjxyZWMtbnVtYmVyPjE4Njk8L3JlYy1u
dW1iZXI+PGZvcmVpZ24ta2V5cz48a2V5IGFwcD0iRU4iIGRiLWlkPSIwZXdhNTl2MDkyc3B3ZmUy
enYweHJzemthMnc5cHh6enoyc2YiIHRpbWVzdGFtcD0iMTQ1MzQwMzcxNSI+MTg2OTwva2V5Pjwv
Zm9yZWlnbi1rZXlzPjxyZWYtdHlwZSBuYW1lPSJKb3VybmFsIEFydGljbGUiPjE3PC9yZWYtdHlw
ZT48Y29udHJpYnV0b3JzPjxhdXRob3JzPjxhdXRob3I+QnJhY2tlbiwgTS4gQi48L2F1dGhvcj48
YXV0aG9yPlNoZXBhcmQsIE0uIEouPC9hdXRob3I+PGF1dGhvcj5Ib2xmb3JkLCBULiBSLjwvYXV0
aG9yPjxhdXRob3I+TGVvLVN1bW1lcnMsIEwuPC9hdXRob3I+PGF1dGhvcj5BbGRyaWNoLCBFLiBG
LjwvYXV0aG9yPjxhdXRob3I+RmF6bCwgTS48L2F1dGhvcj48YXV0aG9yPkZlaGxpbmdzLCBNLiBH
LjwvYXV0aG9yPjxhdXRob3I+SGVyciwgRC4gTC48L2F1dGhvcj48YXV0aG9yPkhpdGNob24sIFAu
IFcuPC9hdXRob3I+PGF1dGhvcj5NYXJzaGFsbCwgTC4gRi48L2F1dGhvcj48YXV0aG9yPk5vY2tl
bHMsIFIuIFAuPC9hdXRob3I+PGF1dGhvcj5QYXNjYWxlLCBWLjwvYXV0aG9yPjxhdXRob3I+UGVy
b3QsIFAuIEwuLCBKci48L2F1dGhvcj48YXV0aG9yPlBpZXBtZWllciwgSi48L2F1dGhvcj48YXV0
aG9yPlNvbm50YWcsIFYuIEsuPC9hdXRob3I+PGF1dGhvcj5XYWduZXIsIEYuPC9hdXRob3I+PGF1
dGhvcj5XaWxiZXJnZXIsIEouIEUuPC9hdXRob3I+PGF1dGhvcj5XaW5uLCBILiBSLjwvYXV0aG9y
PjxhdXRob3I+WW91bmcsIFcuPC9hdXRob3I+PC9hdXRob3JzPjwvY29udHJpYnV0b3JzPjxhdXRo
LWFkZHJlc3M+RGVwYXJ0bWVudCBvZiBFcGlkZW1pb2xvZ3kgYW5kIFB1YmxpYyBIZWFsdGgsIFlh
bGUgVW5pdmVyc2l0eSBTY2hvb2wgb2YgTWVkaWNpbmUsIE5ldyBIYXZlbiwgQ29ubmVjdGljdXQg
MDY1MjAtODAzNCwgVVNBLjwvYXV0aC1hZGRyZXNzPjx0aXRsZXM+PHRpdGxlPk1ldGh5bHByZWRu
aXNvbG9uZSBvciB0aXJpbGF6YWQgbWVzeWxhdGUgYWRtaW5pc3RyYXRpb24gYWZ0ZXIgYWN1dGUg
c3BpbmFsIGNvcmQgaW5qdXJ5OiAxLXllYXIgZm9sbG93IHVwLiBSZXN1bHRzIG9mIHRoZSB0aGly
ZCBOYXRpb25hbCBBY3V0ZSBTcGluYWwgQ29yZCBJbmp1cnkgcmFuZG9taXplZCBjb250cm9sbGVk
IHRyaWFsPC90aXRsZT48c2Vjb25kYXJ5LXRpdGxlPkogTmV1cm9zdXJnPC9zZWNvbmRhcnktdGl0
bGU+PGFsdC10aXRsZT5Kb3VybmFsIG9mIG5ldXJvc3VyZ2VyeTwvYWx0LXRpdGxlPjwvdGl0bGVz
PjxwZXJpb2RpY2FsPjxmdWxsLXRpdGxlPkogTmV1cm9zdXJnPC9mdWxsLXRpdGxlPjxhYmJyLTE+
Sm91cm5hbCBvZiBuZXVyb3N1cmdlcnk8L2FiYnItMT48L3BlcmlvZGljYWw+PGFsdC1wZXJpb2Rp
Y2FsPjxmdWxsLXRpdGxlPkogTmV1cm9zdXJnPC9mdWxsLXRpdGxlPjxhYmJyLTE+Sm91cm5hbCBv
ZiBuZXVyb3N1cmdlcnk8L2FiYnItMT48L2FsdC1wZXJpb2RpY2FsPjxwYWdlcz42OTktNzA2PC9w
YWdlcz48dm9sdW1lPjg5PC92b2x1bWU+PG51bWJlcj41PC9udW1iZXI+PGVkaXRpb24+MTk5OC8x
MS8xNzwvZWRpdGlvbj48a2V5d29yZHM+PGtleXdvcmQ+QWN0aXZpdGllcyBvZiBEYWlseSBMaXZp
bmc8L2tleXdvcmQ+PGtleXdvcmQ+QWN1dGUgRGlzZWFzZTwva2V5d29yZD48a2V5d29yZD5Eb3Vi
bGUtQmxpbmQgTWV0aG9kPC9rZXl3b3JkPjxrZXl3b3JkPkRydWcgQWRtaW5pc3RyYXRpb24gU2No
ZWR1bGU8L2tleXdvcmQ+PGtleXdvcmQ+Rm9sbG93LVVwIFN0dWRpZXM8L2tleXdvcmQ+PGtleXdv
cmQ+SHVtYW5zPC9rZXl3b3JkPjxrZXl3b3JkPk1ldGh5bHByZWRuaXNvbG9uZS9hZG1pbmlzdHJh
dGlvbiAmYW1wOyBkb3NhZ2UvYWR2ZXJzZSBlZmZlY3RzLyp0aGVyYXBldXRpYyB1c2U8L2tleXdv
cmQ+PGtleXdvcmQ+TmVydm91cyBTeXN0ZW0vcGh5c2lvcGF0aG9sb2d5PC9rZXl3b3JkPjxrZXl3
b3JkPk5ldXJvcHJvdGVjdGl2ZSBBZ2VudHMvYWRtaW5pc3RyYXRpb24gJmFtcDsgZG9zYWdlL2Fk
dmVyc2UgZWZmZWN0cy8qdGhlcmFwZXV0aWMgdXNlPC9rZXl3b3JkPjxrZXl3b3JkPlByZWduYXRy
aWVuZXMvYWR2ZXJzZSBlZmZlY3RzLyp0aGVyYXBldXRpYyB1c2U8L2tleXdvcmQ+PGtleXdvcmQ+
U3BpbmFsIENvcmQgSW5qdXJpZXMvKmRydWcgdGhlcmFweS9waHlzaW9wYXRob2xvZ3k8L2tleXdv
cmQ+PGtleXdvcmQ+VGltZSBGYWN0b3JzPC9rZXl3b3JkPjxrZXl3b3JkPnhTQ0ktUGVkczwva2V5
d29yZD48L2tleXdvcmRzPjxkYXRlcz48eWVhcj4xOTk4PC95ZWFyPjxwdWItZGF0ZXM+PGRhdGU+
Tm92PC9kYXRlPjwvcHViLWRhdGVzPjwvZGF0ZXM+PGlzYm4+MDAyMi0zMDg1IChQcmludCkmI3hE
OzAwMjItMzA4NTwvaXNibj48YWNjZXNzaW9uLW51bT45ODE3NDA0PC9hY2Nlc3Npb24tbnVtPjx1
cmxzPjwvdXJscz48ZWxlY3Ryb25pYy1yZXNvdXJjZS1udW0+MTAuMzE3MS9qbnMuMTk5OC44OS41
LjA2OTk8L2VsZWN0cm9uaWMtcmVzb3VyY2UtbnVtPjxyZW1vdGUtZGF0YWJhc2UtcHJvdmlkZXI+
TkxNPC9yZW1vdGUtZGF0YWJhc2UtcHJvdmlkZXI+PGxhbmd1YWdlPmVuZzwvbGFuZ3VhZ2U+PC9y
ZWNvcmQ+PC9DaXRlPjwvRW5kTm90ZT4A
</w:fldData>
        </w:fldChar>
      </w:r>
      <w:r w:rsidR="00902491">
        <w:rPr>
          <w:rFonts w:cs="Times New Roman"/>
          <w:color w:val="000000"/>
          <w:sz w:val="24"/>
          <w:szCs w:val="24"/>
        </w:rPr>
        <w:instrText xml:space="preserve"> ADDIN EN.CITE </w:instrText>
      </w:r>
      <w:r w:rsidR="00ED0B28">
        <w:rPr>
          <w:rFonts w:cs="Times New Roman"/>
          <w:color w:val="000000"/>
          <w:sz w:val="24"/>
          <w:szCs w:val="24"/>
        </w:rPr>
        <w:fldChar w:fldCharType="begin">
          <w:fldData xml:space="preserve">PEVuZE5vdGU+PENpdGU+PEF1dGhvcj5CcmFja2VuPC9BdXRob3I+PFllYXI+MTk5NzwvWWVhcj48
UmVjTnVtPjE4NzA8L1JlY051bT48RGlzcGxheVRleHQ+KEJyYWNrZW4gZXQgYWwuLCAxOTk3OyBC
cmFja2VuIGV0IGFsLiwgMTk5OCk8L0Rpc3BsYXlUZXh0PjxyZWNvcmQ+PHJlYy1udW1iZXI+MTg3
MDwvcmVjLW51bWJlcj48Zm9yZWlnbi1rZXlzPjxrZXkgYXBwPSJFTiIgZGItaWQ9IjBld2E1OXYw
OTJzcHdmZTJ6djB4cnN6a2EydzlweHp6ejJzZiIgdGltZXN0YW1wPSIxNDUzNDAzNzE1Ij4xODcw
PC9rZXk+PC9mb3JlaWduLWtleXM+PHJlZi10eXBlIG5hbWU9IkpvdXJuYWwgQXJ0aWNsZSI+MTc8
L3JlZi10eXBlPjxjb250cmlidXRvcnM+PGF1dGhvcnM+PGF1dGhvcj5CcmFja2VuLCBNLiBCLjwv
YXV0aG9yPjxhdXRob3I+U2hlcGFyZCwgTS4gSi48L2F1dGhvcj48YXV0aG9yPkhvbGZvcmQsIFQu
IFIuPC9hdXRob3I+PGF1dGhvcj5MZW8tU3VtbWVycywgTC48L2F1dGhvcj48YXV0aG9yPkFsZHJp
Y2gsIEUuIEYuPC9hdXRob3I+PGF1dGhvcj5GYXpsLCBNLjwvYXV0aG9yPjxhdXRob3I+RmVobGlu
Z3MsIE0uPC9hdXRob3I+PGF1dGhvcj5IZXJyLCBELiBMLjwvYXV0aG9yPjxhdXRob3I+SGl0Y2hv
biwgUC4gVy48L2F1dGhvcj48YXV0aG9yPk1hcnNoYWxsLCBMLiBGLjwvYXV0aG9yPjxhdXRob3I+
Tm9ja2VscywgUi4gUC48L2F1dGhvcj48YXV0aG9yPlBhc2NhbGUsIFYuPC9hdXRob3I+PGF1dGhv
cj5QZXJvdCwgUC4gTC4sIEpyLjwvYXV0aG9yPjxhdXRob3I+UGllcG1laWVyLCBKLjwvYXV0aG9y
PjxhdXRob3I+U29ubnRhZywgVi4gSy48L2F1dGhvcj48YXV0aG9yPldhZ25lciwgRi48L2F1dGhv
cj48YXV0aG9yPldpbGJlcmdlciwgSi4gRS48L2F1dGhvcj48YXV0aG9yPldpbm4sIEguIFIuPC9h
dXRob3I+PGF1dGhvcj5Zb3VuZywgVy48L2F1dGhvcj48L2F1dGhvcnM+PC9jb250cmlidXRvcnM+
PHRpdGxlcz48dGl0bGU+QWRtaW5pc3RyYXRpb24gb2YgbWV0aHlscHJlZG5pc29sb25lIGZvciAy
NCBvciA0OCBob3VycyBvciB0aXJpbGF6YWQgbWVzeWxhdGUgZm9yIDQ4IGhvdXJzIGluIHRoZSB0
cmVhdG1lbnQgb2YgYWN1dGUgc3BpbmFsIGNvcmQgaW5qdXJ5LiBSZXN1bHRzIG9mIHRoZSBUaGly
ZCBOYXRpb25hbCBBY3V0ZSBTcGluYWwgQ29yZCBJbmp1cnkgUmFuZG9taXplZCBDb250cm9sbGVk
IFRyaWFsLiBOYXRpb25hbCBBY3V0ZSBTcGluYWwgQ29yZCBJbmp1cnkgU3R1ZHk8L3RpdGxlPjxz
ZWNvbmRhcnktdGl0bGU+SmFtYTwvc2Vjb25kYXJ5LXRpdGxlPjxhbHQtdGl0bGU+SmFtYTwvYWx0
LXRpdGxlPjwvdGl0bGVzPjxwZXJpb2RpY2FsPjxmdWxsLXRpdGxlPkphbWE8L2Z1bGwtdGl0bGU+
PGFiYnItMT5KYW1hPC9hYmJyLTE+PC9wZXJpb2RpY2FsPjxhbHQtcGVyaW9kaWNhbD48ZnVsbC10
aXRsZT5KYW1hPC9mdWxsLXRpdGxlPjxhYmJyLTE+SmFtYTwvYWJici0xPjwvYWx0LXBlcmlvZGlj
YWw+PHBhZ2VzPjE1OTctNjA0PC9wYWdlcz48dm9sdW1lPjI3Nzwvdm9sdW1lPjxudW1iZXI+MjA8
L251bWJlcj48ZWRpdGlvbj4xOTk3LzA1LzI4PC9lZGl0aW9uPjxrZXl3b3Jkcz48a2V5d29yZD5B
ZG9sZXNjZW50PC9rZXl3b3JkPjxrZXl3b3JkPkFkdWx0PC9rZXl3b3JkPjxrZXl3b3JkPkFuYWx5
c2lzIG9mIFZhcmlhbmNlPC9rZXl3b3JkPjxrZXl3b3JkPkRvdWJsZS1CbGluZCBNZXRob2Q8L2tl
eXdvcmQ+PGtleXdvcmQ+RHJ1ZyBBZG1pbmlzdHJhdGlvbiBTY2hlZHVsZTwva2V5d29yZD48a2V5
d29yZD5FbWVyZ2VuY2llczwva2V5d29yZD48a2V5d29yZD5GZW1hbGU8L2tleXdvcmQ+PGtleXdv
cmQ+SHVtYW5zPC9rZXl3b3JkPjxrZXl3b3JkPkluanVyeSBTZXZlcml0eSBTY29yZTwva2V5d29y
ZD48a2V5d29yZD5NYWxlPC9rZXl3b3JkPjxrZXl3b3JkPk1ldGh5bHByZWRuaXNvbG9uZS9hZG1p
bmlzdHJhdGlvbiAmYW1wOyBkb3NhZ2UvKnRoZXJhcGV1dGljIHVzZTwva2V5d29yZD48a2V5d29y
ZD5NaWRkbGUgQWdlZDwva2V5d29yZD48a2V5d29yZD5OZXVyb3Byb3RlY3RpdmUgQWdlbnRzL2Fk
bWluaXN0cmF0aW9uICZhbXA7IGRvc2FnZS8qdGhlcmFwZXV0aWMgdXNlPC9rZXl3b3JkPjxrZXl3
b3JkPlByZWduYXRyaWVuZXMvYWRtaW5pc3RyYXRpb24gJmFtcDsgZG9zYWdlLyp0aGVyYXBldXRp
YyB1c2U8L2tleXdvcmQ+PGtleXdvcmQ+U3BpbmFsIENvcmQgSW5qdXJpZXMvY29tcGxpY2F0aW9u
cy8qZHJ1ZyB0aGVyYXB5L3BoeXNpb3BhdGhvbG9neTwva2V5d29yZD48a2V5d29yZD5UaW1lIEZh
Y3RvcnN4U0NJLVBlZHM8L2tleXdvcmQ+PC9rZXl3b3Jkcz48ZGF0ZXM+PHllYXI+MTk5NzwveWVh
cj48cHViLWRhdGVzPjxkYXRlPk1heSAyODwvZGF0ZT48L3B1Yi1kYXRlcz48L2RhdGVzPjxpc2Ju
PjAwOTgtNzQ4NCAoUHJpbnQpJiN4RDswMDk4LTc0ODQ8L2lzYm4+PGFjY2Vzc2lvbi1udW0+OTE2
ODI4OTwvYWNjZXNzaW9uLW51bT48dXJscz48L3VybHM+PHJlbW90ZS1kYXRhYmFzZS1wcm92aWRl
cj5OTE08L3JlbW90ZS1kYXRhYmFzZS1wcm92aWRlcj48bGFuZ3VhZ2U+ZW5nPC9sYW5ndWFnZT48
L3JlY29yZD48L0NpdGU+PENpdGU+PEF1dGhvcj5CcmFja2VuPC9BdXRob3I+PFllYXI+MTk5ODwv
WWVhcj48UmVjTnVtPjE4Njk8L1JlY051bT48cmVjb3JkPjxyZWMtbnVtYmVyPjE4Njk8L3JlYy1u
dW1iZXI+PGZvcmVpZ24ta2V5cz48a2V5IGFwcD0iRU4iIGRiLWlkPSIwZXdhNTl2MDkyc3B3ZmUy
enYweHJzemthMnc5cHh6enoyc2YiIHRpbWVzdGFtcD0iMTQ1MzQwMzcxNSI+MTg2OTwva2V5Pjwv
Zm9yZWlnbi1rZXlzPjxyZWYtdHlwZSBuYW1lPSJKb3VybmFsIEFydGljbGUiPjE3PC9yZWYtdHlw
ZT48Y29udHJpYnV0b3JzPjxhdXRob3JzPjxhdXRob3I+QnJhY2tlbiwgTS4gQi48L2F1dGhvcj48
YXV0aG9yPlNoZXBhcmQsIE0uIEouPC9hdXRob3I+PGF1dGhvcj5Ib2xmb3JkLCBULiBSLjwvYXV0
aG9yPjxhdXRob3I+TGVvLVN1bW1lcnMsIEwuPC9hdXRob3I+PGF1dGhvcj5BbGRyaWNoLCBFLiBG
LjwvYXV0aG9yPjxhdXRob3I+RmF6bCwgTS48L2F1dGhvcj48YXV0aG9yPkZlaGxpbmdzLCBNLiBH
LjwvYXV0aG9yPjxhdXRob3I+SGVyciwgRC4gTC48L2F1dGhvcj48YXV0aG9yPkhpdGNob24sIFAu
IFcuPC9hdXRob3I+PGF1dGhvcj5NYXJzaGFsbCwgTC4gRi48L2F1dGhvcj48YXV0aG9yPk5vY2tl
bHMsIFIuIFAuPC9hdXRob3I+PGF1dGhvcj5QYXNjYWxlLCBWLjwvYXV0aG9yPjxhdXRob3I+UGVy
b3QsIFAuIEwuLCBKci48L2F1dGhvcj48YXV0aG9yPlBpZXBtZWllciwgSi48L2F1dGhvcj48YXV0
aG9yPlNvbm50YWcsIFYuIEsuPC9hdXRob3I+PGF1dGhvcj5XYWduZXIsIEYuPC9hdXRob3I+PGF1
dGhvcj5XaWxiZXJnZXIsIEouIEUuPC9hdXRob3I+PGF1dGhvcj5XaW5uLCBILiBSLjwvYXV0aG9y
PjxhdXRob3I+WW91bmcsIFcuPC9hdXRob3I+PC9hdXRob3JzPjwvY29udHJpYnV0b3JzPjxhdXRo
LWFkZHJlc3M+RGVwYXJ0bWVudCBvZiBFcGlkZW1pb2xvZ3kgYW5kIFB1YmxpYyBIZWFsdGgsIFlh
bGUgVW5pdmVyc2l0eSBTY2hvb2wgb2YgTWVkaWNpbmUsIE5ldyBIYXZlbiwgQ29ubmVjdGljdXQg
MDY1MjAtODAzNCwgVVNBLjwvYXV0aC1hZGRyZXNzPjx0aXRsZXM+PHRpdGxlPk1ldGh5bHByZWRu
aXNvbG9uZSBvciB0aXJpbGF6YWQgbWVzeWxhdGUgYWRtaW5pc3RyYXRpb24gYWZ0ZXIgYWN1dGUg
c3BpbmFsIGNvcmQgaW5qdXJ5OiAxLXllYXIgZm9sbG93IHVwLiBSZXN1bHRzIG9mIHRoZSB0aGly
ZCBOYXRpb25hbCBBY3V0ZSBTcGluYWwgQ29yZCBJbmp1cnkgcmFuZG9taXplZCBjb250cm9sbGVk
IHRyaWFsPC90aXRsZT48c2Vjb25kYXJ5LXRpdGxlPkogTmV1cm9zdXJnPC9zZWNvbmRhcnktdGl0
bGU+PGFsdC10aXRsZT5Kb3VybmFsIG9mIG5ldXJvc3VyZ2VyeTwvYWx0LXRpdGxlPjwvdGl0bGVz
PjxwZXJpb2RpY2FsPjxmdWxsLXRpdGxlPkogTmV1cm9zdXJnPC9mdWxsLXRpdGxlPjxhYmJyLTE+
Sm91cm5hbCBvZiBuZXVyb3N1cmdlcnk8L2FiYnItMT48L3BlcmlvZGljYWw+PGFsdC1wZXJpb2Rp
Y2FsPjxmdWxsLXRpdGxlPkogTmV1cm9zdXJnPC9mdWxsLXRpdGxlPjxhYmJyLTE+Sm91cm5hbCBv
ZiBuZXVyb3N1cmdlcnk8L2FiYnItMT48L2FsdC1wZXJpb2RpY2FsPjxwYWdlcz42OTktNzA2PC9w
YWdlcz48dm9sdW1lPjg5PC92b2x1bWU+PG51bWJlcj41PC9udW1iZXI+PGVkaXRpb24+MTk5OC8x
MS8xNzwvZWRpdGlvbj48a2V5d29yZHM+PGtleXdvcmQ+QWN0aXZpdGllcyBvZiBEYWlseSBMaXZp
bmc8L2tleXdvcmQ+PGtleXdvcmQ+QWN1dGUgRGlzZWFzZTwva2V5d29yZD48a2V5d29yZD5Eb3Vi
bGUtQmxpbmQgTWV0aG9kPC9rZXl3b3JkPjxrZXl3b3JkPkRydWcgQWRtaW5pc3RyYXRpb24gU2No
ZWR1bGU8L2tleXdvcmQ+PGtleXdvcmQ+Rm9sbG93LVVwIFN0dWRpZXM8L2tleXdvcmQ+PGtleXdv
cmQ+SHVtYW5zPC9rZXl3b3JkPjxrZXl3b3JkPk1ldGh5bHByZWRuaXNvbG9uZS9hZG1pbmlzdHJh
dGlvbiAmYW1wOyBkb3NhZ2UvYWR2ZXJzZSBlZmZlY3RzLyp0aGVyYXBldXRpYyB1c2U8L2tleXdv
cmQ+PGtleXdvcmQ+TmVydm91cyBTeXN0ZW0vcGh5c2lvcGF0aG9sb2d5PC9rZXl3b3JkPjxrZXl3
b3JkPk5ldXJvcHJvdGVjdGl2ZSBBZ2VudHMvYWRtaW5pc3RyYXRpb24gJmFtcDsgZG9zYWdlL2Fk
dmVyc2UgZWZmZWN0cy8qdGhlcmFwZXV0aWMgdXNlPC9rZXl3b3JkPjxrZXl3b3JkPlByZWduYXRy
aWVuZXMvYWR2ZXJzZSBlZmZlY3RzLyp0aGVyYXBldXRpYyB1c2U8L2tleXdvcmQ+PGtleXdvcmQ+
U3BpbmFsIENvcmQgSW5qdXJpZXMvKmRydWcgdGhlcmFweS9waHlzaW9wYXRob2xvZ3k8L2tleXdv
cmQ+PGtleXdvcmQ+VGltZSBGYWN0b3JzPC9rZXl3b3JkPjxrZXl3b3JkPnhTQ0ktUGVkczwva2V5
d29yZD48L2tleXdvcmRzPjxkYXRlcz48eWVhcj4xOTk4PC95ZWFyPjxwdWItZGF0ZXM+PGRhdGU+
Tm92PC9kYXRlPjwvcHViLWRhdGVzPjwvZGF0ZXM+PGlzYm4+MDAyMi0zMDg1IChQcmludCkmI3hE
OzAwMjItMzA4NTwvaXNibj48YWNjZXNzaW9uLW51bT45ODE3NDA0PC9hY2Nlc3Npb24tbnVtPjx1
cmxzPjwvdXJscz48ZWxlY3Ryb25pYy1yZXNvdXJjZS1udW0+MTAuMzE3MS9qbnMuMTk5OC44OS41
LjA2OTk8L2VsZWN0cm9uaWMtcmVzb3VyY2UtbnVtPjxyZW1vdGUtZGF0YWJhc2UtcHJvdmlkZXI+
TkxNPC9yZW1vdGUtZGF0YWJhc2UtcHJvdmlkZXI+PGxhbmd1YWdlPmVuZzwvbGFuZ3VhZ2U+PC9y
ZWNvcmQ+PC9DaXRlPjwvRW5kTm90ZT4A
</w:fldData>
        </w:fldChar>
      </w:r>
      <w:r w:rsidR="00902491">
        <w:rPr>
          <w:rFonts w:cs="Times New Roman"/>
          <w:color w:val="000000"/>
          <w:sz w:val="24"/>
          <w:szCs w:val="24"/>
        </w:rPr>
        <w:instrText xml:space="preserve"> ADDIN EN.CITE.DATA </w:instrText>
      </w:r>
      <w:r w:rsidR="00ED0B28">
        <w:rPr>
          <w:rFonts w:cs="Times New Roman"/>
          <w:color w:val="000000"/>
          <w:sz w:val="24"/>
          <w:szCs w:val="24"/>
        </w:rPr>
      </w:r>
      <w:r w:rsidR="00ED0B28">
        <w:rPr>
          <w:rFonts w:cs="Times New Roman"/>
          <w:color w:val="000000"/>
          <w:sz w:val="24"/>
          <w:szCs w:val="24"/>
        </w:rPr>
        <w:fldChar w:fldCharType="end"/>
      </w:r>
      <w:r w:rsidR="00ED0B28">
        <w:rPr>
          <w:rFonts w:cs="Times New Roman"/>
          <w:color w:val="000000"/>
          <w:sz w:val="24"/>
          <w:szCs w:val="24"/>
        </w:rPr>
      </w:r>
      <w:r w:rsidR="00ED0B28">
        <w:rPr>
          <w:rFonts w:cs="Times New Roman"/>
          <w:color w:val="000000"/>
          <w:sz w:val="24"/>
          <w:szCs w:val="24"/>
        </w:rPr>
        <w:fldChar w:fldCharType="separate"/>
      </w:r>
      <w:r w:rsidR="00902491">
        <w:rPr>
          <w:rFonts w:cs="Times New Roman"/>
          <w:noProof/>
          <w:color w:val="000000"/>
          <w:sz w:val="24"/>
          <w:szCs w:val="24"/>
        </w:rPr>
        <w:t>(Bracken et al., 1997; Bracken et al., 1998)</w:t>
      </w:r>
      <w:r w:rsidR="00ED0B28">
        <w:rPr>
          <w:rFonts w:cs="Times New Roman"/>
          <w:color w:val="000000"/>
          <w:sz w:val="24"/>
          <w:szCs w:val="24"/>
        </w:rPr>
        <w:fldChar w:fldCharType="end"/>
      </w:r>
      <w:r w:rsidRPr="00097F34">
        <w:rPr>
          <w:rFonts w:cs="Times New Roman"/>
          <w:color w:val="000000"/>
          <w:sz w:val="24"/>
          <w:szCs w:val="24"/>
        </w:rPr>
        <w:t xml:space="preserve"> after SCI can have an effect</w:t>
      </w:r>
      <w:r w:rsidR="00097F34">
        <w:rPr>
          <w:rFonts w:cs="Times New Roman"/>
          <w:color w:val="000000"/>
          <w:sz w:val="24"/>
          <w:szCs w:val="24"/>
        </w:rPr>
        <w:t xml:space="preserve"> on the MRI appearance of SCI. </w:t>
      </w:r>
      <w:r w:rsidRPr="00097F34">
        <w:rPr>
          <w:rFonts w:cs="Times New Roman"/>
          <w:color w:val="000000"/>
          <w:sz w:val="24"/>
          <w:szCs w:val="24"/>
        </w:rPr>
        <w:t>Steroid does not seem to have an effect on overall lesion length, however, it does diminish the probability of frank hemorrhage at the lesion c</w:t>
      </w:r>
      <w:r w:rsidR="00097F34">
        <w:rPr>
          <w:rFonts w:cs="Times New Roman"/>
          <w:color w:val="000000"/>
          <w:sz w:val="24"/>
          <w:szCs w:val="24"/>
        </w:rPr>
        <w:t>enter (</w:t>
      </w:r>
      <w:proofErr w:type="spellStart"/>
      <w:r w:rsidR="00097F34">
        <w:rPr>
          <w:rFonts w:cs="Times New Roman"/>
          <w:color w:val="000000"/>
          <w:sz w:val="24"/>
          <w:szCs w:val="24"/>
        </w:rPr>
        <w:t>Leypold</w:t>
      </w:r>
      <w:proofErr w:type="spellEnd"/>
      <w:r w:rsidR="00E85296">
        <w:rPr>
          <w:rFonts w:cs="Times New Roman"/>
          <w:color w:val="000000"/>
          <w:sz w:val="24"/>
          <w:szCs w:val="24"/>
        </w:rPr>
        <w:t>, et al.</w:t>
      </w:r>
      <w:r w:rsidR="00097F34">
        <w:rPr>
          <w:rFonts w:cs="Times New Roman"/>
          <w:color w:val="000000"/>
          <w:sz w:val="24"/>
          <w:szCs w:val="24"/>
        </w:rPr>
        <w:t xml:space="preserve"> </w:t>
      </w:r>
      <w:r w:rsidR="00E85296">
        <w:rPr>
          <w:rFonts w:cs="Times New Roman"/>
          <w:color w:val="000000"/>
          <w:sz w:val="24"/>
          <w:szCs w:val="24"/>
        </w:rPr>
        <w:t>2007</w:t>
      </w:r>
      <w:r w:rsidR="00097F34">
        <w:rPr>
          <w:rFonts w:cs="Times New Roman"/>
          <w:color w:val="000000"/>
          <w:sz w:val="24"/>
          <w:szCs w:val="24"/>
        </w:rPr>
        <w:t>)</w:t>
      </w:r>
      <w:r w:rsidR="00ED0B28">
        <w:rPr>
          <w:rFonts w:cs="Times New Roman"/>
          <w:color w:val="000000"/>
          <w:sz w:val="24"/>
          <w:szCs w:val="24"/>
        </w:rPr>
        <w:fldChar w:fldCharType="begin"/>
      </w:r>
      <w:r w:rsidR="00902491">
        <w:rPr>
          <w:rFonts w:cs="Times New Roman"/>
          <w:color w:val="000000"/>
          <w:sz w:val="24"/>
          <w:szCs w:val="24"/>
        </w:rPr>
        <w:instrText xml:space="preserve"> ADDIN EN.CITE &lt;EndNote&gt;&lt;Cite&gt;&lt;Author&gt;Leypold&lt;/Author&gt;&lt;Year&gt;2007&lt;/Year&gt;&lt;RecNum&gt;1862&lt;/RecNum&gt;&lt;DisplayText&gt;(Leypold, Flanders, Schwartz, &amp;amp; Burns, 2007)&lt;/DisplayText&gt;&lt;record&gt;&lt;rec-number&gt;1862&lt;/rec-number&gt;&lt;foreign-keys&gt;&lt;key app="EN" db-id="0ewa59v092spwfe2zv0xrszka2w9pxzzz2sf" timestamp="1453403420"&gt;1862&lt;/key&gt;&lt;/foreign-keys&gt;&lt;ref-type name="Journal Article"&gt;17&lt;/ref-type&gt;&lt;contributors&gt;&lt;authors&gt;&lt;author&gt;Leypold, B. G.&lt;/author&gt;&lt;author&gt;Flanders, A. E.&lt;/author&gt;&lt;author&gt;Schwartz, E. D.&lt;/author&gt;&lt;author&gt;Burns, A. S.&lt;/author&gt;&lt;/authors&gt;&lt;/contributors&gt;&lt;auth-address&gt;Department of Radiology/Neuroradiology, Thomas Jefferson University Hospital, Philadelphia, PA 19107, USA. Bradley.Leypold@mail.tju.edu&lt;/auth-address&gt;&lt;titles&gt;&lt;title&gt;The impact of methylprednisolone on lesion severity following spinal cord injury&lt;/title&gt;&lt;secondary-title&gt;Spine (Phila Pa 1976)&lt;/secondary-title&gt;&lt;alt-title&gt;Spine&lt;/alt-title&gt;&lt;/titles&gt;&lt;periodical&gt;&lt;full-title&gt;Spine (Phila Pa 1976)&lt;/full-title&gt;&lt;abbr-1&gt;Spine&lt;/abbr-1&gt;&lt;/periodical&gt;&lt;alt-periodical&gt;&lt;full-title&gt;Spine (Phila Pa 1976)&lt;/full-title&gt;&lt;abbr-1&gt;Spine&lt;/abbr-1&gt;&lt;/alt-periodical&gt;&lt;pages&gt;373-8; discussion 379-81&lt;/pages&gt;&lt;volume&gt;32&lt;/volume&gt;&lt;number&gt;3&lt;/number&gt;&lt;edition&gt;2007/02/03&lt;/edition&gt;&lt;keywords&gt;&lt;keyword&gt;Adolescent&lt;/keyword&gt;&lt;keyword&gt;Adult&lt;/keyword&gt;&lt;keyword&gt;Aged&lt;/keyword&gt;&lt;keyword&gt;Female&lt;/keyword&gt;&lt;keyword&gt;Humans&lt;/keyword&gt;&lt;keyword&gt;Magnetic Resonance Imaging&lt;/keyword&gt;&lt;keyword&gt;Male&lt;/keyword&gt;&lt;keyword&gt;Methylprednisolone/*therapeutic use&lt;/keyword&gt;&lt;keyword&gt;Middle Aged&lt;/keyword&gt;&lt;keyword&gt;Retrospective Studies&lt;/keyword&gt;&lt;keyword&gt;Severity of Illness Index&lt;/keyword&gt;&lt;keyword&gt;Spinal Cord Injuries/diagnosis/*drug therapy/*radiography&lt;/keyword&gt;&lt;keyword&gt;xSCI-Peds&lt;/keyword&gt;&lt;/keywords&gt;&lt;dates&gt;&lt;year&gt;2007&lt;/year&gt;&lt;pub-dates&gt;&lt;date&gt;Feb 1&lt;/date&gt;&lt;/pub-dates&gt;&lt;/dates&gt;&lt;isbn&gt;0362-2436&lt;/isbn&gt;&lt;accession-num&gt;17268271&lt;/accession-num&gt;&lt;urls&gt;&lt;/urls&gt;&lt;electronic-resource-num&gt;10.1097/01.brs.0000253964.10701.00&lt;/electronic-resource-num&gt;&lt;remote-database-provider&gt;NLM&lt;/remote-database-provider&gt;&lt;language&gt;eng&lt;/language&gt;&lt;/record&gt;&lt;/Cite&gt;&lt;/EndNote&gt;</w:instrText>
      </w:r>
      <w:r w:rsidR="00ED0B28">
        <w:rPr>
          <w:rFonts w:cs="Times New Roman"/>
          <w:color w:val="000000"/>
          <w:sz w:val="24"/>
          <w:szCs w:val="24"/>
        </w:rPr>
        <w:fldChar w:fldCharType="separate"/>
      </w:r>
      <w:r w:rsidR="00902491">
        <w:rPr>
          <w:rFonts w:cs="Times New Roman"/>
          <w:noProof/>
          <w:color w:val="000000"/>
          <w:sz w:val="24"/>
          <w:szCs w:val="24"/>
        </w:rPr>
        <w:t>(</w:t>
      </w:r>
      <w:proofErr w:type="spellStart"/>
      <w:r w:rsidR="00902491">
        <w:rPr>
          <w:rFonts w:cs="Times New Roman"/>
          <w:noProof/>
          <w:color w:val="000000"/>
          <w:sz w:val="24"/>
          <w:szCs w:val="24"/>
        </w:rPr>
        <w:t>Leypold</w:t>
      </w:r>
      <w:proofErr w:type="spellEnd"/>
      <w:r w:rsidR="00902491">
        <w:rPr>
          <w:rFonts w:cs="Times New Roman"/>
          <w:noProof/>
          <w:color w:val="000000"/>
          <w:sz w:val="24"/>
          <w:szCs w:val="24"/>
        </w:rPr>
        <w:t>, Flanders, Schwartz, &amp; Burns, 2007)</w:t>
      </w:r>
      <w:r w:rsidR="00ED0B28">
        <w:rPr>
          <w:rFonts w:cs="Times New Roman"/>
          <w:color w:val="000000"/>
          <w:sz w:val="24"/>
          <w:szCs w:val="24"/>
        </w:rPr>
        <w:fldChar w:fldCharType="end"/>
      </w:r>
      <w:r w:rsidR="00097F34">
        <w:rPr>
          <w:rFonts w:cs="Times New Roman"/>
          <w:color w:val="000000"/>
          <w:sz w:val="24"/>
          <w:szCs w:val="24"/>
        </w:rPr>
        <w:t xml:space="preserve">. </w:t>
      </w:r>
      <w:r w:rsidRPr="00097F34">
        <w:rPr>
          <w:rFonts w:cs="Times New Roman"/>
          <w:color w:val="000000"/>
          <w:sz w:val="24"/>
          <w:szCs w:val="24"/>
        </w:rPr>
        <w:t>This observation has been replicated in animal studies.</w:t>
      </w:r>
    </w:p>
    <w:p w:rsidR="00411227" w:rsidRPr="00097F34" w:rsidRDefault="00097F34" w:rsidP="00097F34">
      <w:pPr>
        <w:numPr>
          <w:ilvl w:val="0"/>
          <w:numId w:val="1"/>
        </w:numPr>
        <w:spacing w:before="120" w:after="60"/>
        <w:textAlignment w:val="baseline"/>
        <w:rPr>
          <w:rFonts w:cs="Times New Roman"/>
          <w:bCs/>
          <w:color w:val="000000"/>
          <w:sz w:val="24"/>
          <w:szCs w:val="24"/>
        </w:rPr>
      </w:pPr>
      <w:r>
        <w:rPr>
          <w:rFonts w:cs="Times New Roman"/>
          <w:bCs/>
          <w:color w:val="000000"/>
          <w:sz w:val="24"/>
          <w:szCs w:val="24"/>
        </w:rPr>
        <w:t xml:space="preserve">Acute </w:t>
      </w:r>
      <w:proofErr w:type="spellStart"/>
      <w:r>
        <w:rPr>
          <w:rFonts w:cs="Times New Roman"/>
          <w:bCs/>
          <w:color w:val="000000"/>
          <w:sz w:val="24"/>
          <w:szCs w:val="24"/>
        </w:rPr>
        <w:t>vs</w:t>
      </w:r>
      <w:proofErr w:type="spellEnd"/>
      <w:r>
        <w:rPr>
          <w:rFonts w:cs="Times New Roman"/>
          <w:bCs/>
          <w:color w:val="000000"/>
          <w:sz w:val="24"/>
          <w:szCs w:val="24"/>
        </w:rPr>
        <w:t xml:space="preserve"> chronic injury: </w:t>
      </w:r>
      <w:r w:rsidR="00411227" w:rsidRPr="00097F34">
        <w:rPr>
          <w:rFonts w:cs="Times New Roman"/>
          <w:color w:val="000000"/>
          <w:sz w:val="24"/>
          <w:szCs w:val="24"/>
        </w:rPr>
        <w:t>There are MRI features that can help differ</w:t>
      </w:r>
      <w:r>
        <w:rPr>
          <w:rFonts w:cs="Times New Roman"/>
          <w:color w:val="000000"/>
          <w:sz w:val="24"/>
          <w:szCs w:val="24"/>
        </w:rPr>
        <w:t xml:space="preserve">entiate acute and chronic SCI. </w:t>
      </w:r>
      <w:r w:rsidR="00411227" w:rsidRPr="00097F34">
        <w:rPr>
          <w:rFonts w:cs="Times New Roman"/>
          <w:color w:val="000000"/>
          <w:sz w:val="24"/>
          <w:szCs w:val="24"/>
        </w:rPr>
        <w:t xml:space="preserve">Swelling and edema are typical MRI changes associated with acute SCI with or without frank areas of intrinsic intramedullary hemorrhage whereas spinal cord </w:t>
      </w:r>
      <w:r w:rsidR="00411227" w:rsidRPr="00097F34">
        <w:rPr>
          <w:rFonts w:cs="Times New Roman"/>
          <w:color w:val="000000"/>
          <w:sz w:val="24"/>
          <w:szCs w:val="24"/>
        </w:rPr>
        <w:lastRenderedPageBreak/>
        <w:t xml:space="preserve">atrophy, tethering and syrinx formation are more </w:t>
      </w:r>
      <w:r>
        <w:rPr>
          <w:rFonts w:cs="Times New Roman"/>
          <w:color w:val="000000"/>
          <w:sz w:val="24"/>
          <w:szCs w:val="24"/>
        </w:rPr>
        <w:t xml:space="preserve">characteristic of chronic SCI. </w:t>
      </w:r>
      <w:r w:rsidR="00411227" w:rsidRPr="00097F34">
        <w:rPr>
          <w:rFonts w:cs="Times New Roman"/>
          <w:color w:val="000000"/>
          <w:sz w:val="24"/>
          <w:szCs w:val="24"/>
        </w:rPr>
        <w:t xml:space="preserve">In the </w:t>
      </w:r>
      <w:proofErr w:type="spellStart"/>
      <w:r w:rsidR="00411227" w:rsidRPr="00097F34">
        <w:rPr>
          <w:rFonts w:cs="Times New Roman"/>
          <w:color w:val="000000"/>
          <w:sz w:val="24"/>
          <w:szCs w:val="24"/>
        </w:rPr>
        <w:t>subacute</w:t>
      </w:r>
      <w:proofErr w:type="spellEnd"/>
      <w:r w:rsidR="00411227" w:rsidRPr="00097F34">
        <w:rPr>
          <w:rFonts w:cs="Times New Roman"/>
          <w:color w:val="000000"/>
          <w:sz w:val="24"/>
          <w:szCs w:val="24"/>
        </w:rPr>
        <w:t xml:space="preserve"> period, spinal cord edema will tend to contract around the geographic center of </w:t>
      </w:r>
      <w:r>
        <w:rPr>
          <w:rFonts w:cs="Times New Roman"/>
          <w:color w:val="000000"/>
          <w:sz w:val="24"/>
          <w:szCs w:val="24"/>
        </w:rPr>
        <w:t xml:space="preserve">the injury. </w:t>
      </w:r>
      <w:r w:rsidR="00411227" w:rsidRPr="00097F34">
        <w:rPr>
          <w:rFonts w:cs="Times New Roman"/>
          <w:color w:val="000000"/>
          <w:sz w:val="24"/>
          <w:szCs w:val="24"/>
        </w:rPr>
        <w:t>Chronic hemorrhagic by</w:t>
      </w:r>
      <w:r w:rsidR="00902491">
        <w:rPr>
          <w:rFonts w:cs="Times New Roman"/>
          <w:color w:val="000000"/>
          <w:sz w:val="24"/>
          <w:szCs w:val="24"/>
        </w:rPr>
        <w:t>-</w:t>
      </w:r>
      <w:r w:rsidR="00411227" w:rsidRPr="00097F34">
        <w:rPr>
          <w:rFonts w:cs="Times New Roman"/>
          <w:color w:val="000000"/>
          <w:sz w:val="24"/>
          <w:szCs w:val="24"/>
        </w:rPr>
        <w:t>products may persist inde</w:t>
      </w:r>
      <w:r>
        <w:rPr>
          <w:rFonts w:cs="Times New Roman"/>
          <w:color w:val="000000"/>
          <w:sz w:val="24"/>
          <w:szCs w:val="24"/>
        </w:rPr>
        <w:t xml:space="preserve">finitely in the lesion center. </w:t>
      </w:r>
      <w:r w:rsidR="00411227" w:rsidRPr="00097F34">
        <w:rPr>
          <w:rFonts w:cs="Times New Roman"/>
          <w:color w:val="000000"/>
          <w:sz w:val="24"/>
          <w:szCs w:val="24"/>
        </w:rPr>
        <w:t xml:space="preserve">In the </w:t>
      </w:r>
      <w:proofErr w:type="spellStart"/>
      <w:r w:rsidR="00411227" w:rsidRPr="00097F34">
        <w:rPr>
          <w:rFonts w:cs="Times New Roman"/>
          <w:color w:val="000000"/>
          <w:sz w:val="24"/>
          <w:szCs w:val="24"/>
        </w:rPr>
        <w:t>subacute</w:t>
      </w:r>
      <w:proofErr w:type="spellEnd"/>
      <w:r w:rsidR="00411227" w:rsidRPr="00097F34">
        <w:rPr>
          <w:rFonts w:cs="Times New Roman"/>
          <w:color w:val="000000"/>
          <w:sz w:val="24"/>
          <w:szCs w:val="24"/>
        </w:rPr>
        <w:t xml:space="preserve"> period, a sudden progression in neurologic deficit or an ascending neurologic level may be indicative of </w:t>
      </w:r>
      <w:proofErr w:type="spellStart"/>
      <w:r w:rsidR="00411227" w:rsidRPr="00097F34">
        <w:rPr>
          <w:rFonts w:cs="Times New Roman"/>
          <w:color w:val="000000"/>
          <w:sz w:val="24"/>
          <w:szCs w:val="24"/>
        </w:rPr>
        <w:t>subacute</w:t>
      </w:r>
      <w:proofErr w:type="spellEnd"/>
      <w:r w:rsidR="00411227" w:rsidRPr="00097F34">
        <w:rPr>
          <w:rFonts w:cs="Times New Roman"/>
          <w:color w:val="000000"/>
          <w:sz w:val="24"/>
          <w:szCs w:val="24"/>
        </w:rPr>
        <w:t xml:space="preserve"> progressive ascending </w:t>
      </w:r>
      <w:proofErr w:type="spellStart"/>
      <w:r w:rsidR="00411227" w:rsidRPr="00097F34">
        <w:rPr>
          <w:rFonts w:cs="Times New Roman"/>
          <w:color w:val="000000"/>
          <w:sz w:val="24"/>
          <w:szCs w:val="24"/>
        </w:rPr>
        <w:t>myelopathy</w:t>
      </w:r>
      <w:proofErr w:type="spellEnd"/>
      <w:r w:rsidR="00411227" w:rsidRPr="00B14ED0">
        <w:rPr>
          <w:rFonts w:cs="Times New Roman"/>
          <w:color w:val="000000"/>
          <w:sz w:val="24"/>
          <w:szCs w:val="24"/>
        </w:rPr>
        <w:t xml:space="preserve"> </w:t>
      </w:r>
      <w:r>
        <w:rPr>
          <w:rFonts w:cs="Times New Roman"/>
          <w:color w:val="000000"/>
          <w:sz w:val="24"/>
          <w:szCs w:val="24"/>
        </w:rPr>
        <w:t xml:space="preserve">(SPAM). </w:t>
      </w:r>
      <w:r w:rsidR="00411227" w:rsidRPr="00097F34">
        <w:rPr>
          <w:rFonts w:cs="Times New Roman"/>
          <w:color w:val="000000"/>
          <w:sz w:val="24"/>
          <w:szCs w:val="24"/>
        </w:rPr>
        <w:t>There is an MR</w:t>
      </w:r>
      <w:r w:rsidR="00902491">
        <w:rPr>
          <w:rFonts w:cs="Times New Roman"/>
          <w:color w:val="000000"/>
          <w:sz w:val="24"/>
          <w:szCs w:val="24"/>
        </w:rPr>
        <w:t>I</w:t>
      </w:r>
      <w:r w:rsidR="00411227" w:rsidRPr="00097F34">
        <w:rPr>
          <w:rFonts w:cs="Times New Roman"/>
          <w:color w:val="000000"/>
          <w:sz w:val="24"/>
          <w:szCs w:val="24"/>
        </w:rPr>
        <w:t xml:space="preserve"> correlate to SPAM which demonstrates a dramatic increase in length of the lesion</w:t>
      </w:r>
      <w:r>
        <w:rPr>
          <w:rFonts w:cs="Times New Roman"/>
          <w:color w:val="000000"/>
          <w:sz w:val="24"/>
          <w:szCs w:val="24"/>
        </w:rPr>
        <w:t xml:space="preserve"> from the initial MRI. </w:t>
      </w:r>
      <w:r w:rsidR="00411227" w:rsidRPr="00097F34">
        <w:rPr>
          <w:rFonts w:cs="Times New Roman"/>
          <w:color w:val="000000"/>
          <w:sz w:val="24"/>
          <w:szCs w:val="24"/>
        </w:rPr>
        <w:t xml:space="preserve">In the chronic phase of injury a sudden neurologic decline after a long period of stability is known as post-traumatic </w:t>
      </w:r>
      <w:r>
        <w:rPr>
          <w:rFonts w:cs="Times New Roman"/>
          <w:color w:val="000000"/>
          <w:sz w:val="24"/>
          <w:szCs w:val="24"/>
        </w:rPr>
        <w:t xml:space="preserve">progressive myelopathy (PTPM). </w:t>
      </w:r>
      <w:r w:rsidR="00411227" w:rsidRPr="00097F34">
        <w:rPr>
          <w:rFonts w:cs="Times New Roman"/>
          <w:color w:val="000000"/>
          <w:sz w:val="24"/>
          <w:szCs w:val="24"/>
        </w:rPr>
        <w:t>This clinical entity may be associated with MRI changes of syrinx formation/enlargement, spinal cord tethering or progressive spinal cord atrophy.</w:t>
      </w:r>
    </w:p>
    <w:p w:rsidR="00411227" w:rsidRPr="00DC1430" w:rsidRDefault="00411227" w:rsidP="00097F34">
      <w:pPr>
        <w:numPr>
          <w:ilvl w:val="0"/>
          <w:numId w:val="1"/>
        </w:numPr>
        <w:spacing w:before="120" w:after="60"/>
        <w:textAlignment w:val="baseline"/>
        <w:rPr>
          <w:rFonts w:cs="Times New Roman"/>
          <w:bCs/>
          <w:color w:val="000000"/>
          <w:sz w:val="24"/>
          <w:szCs w:val="24"/>
        </w:rPr>
      </w:pPr>
      <w:r w:rsidRPr="00097F34">
        <w:rPr>
          <w:rFonts w:eastAsia="Times New Roman" w:cs="Times New Roman"/>
          <w:bCs/>
          <w:color w:val="000000"/>
          <w:sz w:val="24"/>
          <w:szCs w:val="24"/>
        </w:rPr>
        <w:t xml:space="preserve">Instrumentation: </w:t>
      </w:r>
      <w:r w:rsidRPr="00097F34">
        <w:rPr>
          <w:rFonts w:eastAsia="Times New Roman" w:cs="Times New Roman"/>
          <w:color w:val="000000"/>
          <w:sz w:val="24"/>
          <w:szCs w:val="24"/>
        </w:rPr>
        <w:t>All forms of metallic instrumentation produce local or regional artifacts on MRI which may obscure portions of the spine and the</w:t>
      </w:r>
      <w:r w:rsidR="00097F34">
        <w:rPr>
          <w:rFonts w:eastAsia="Times New Roman" w:cs="Times New Roman"/>
          <w:color w:val="000000"/>
          <w:sz w:val="24"/>
          <w:szCs w:val="24"/>
        </w:rPr>
        <w:t xml:space="preserve"> contents of the spinal canal. </w:t>
      </w:r>
      <w:r w:rsidRPr="00097F34">
        <w:rPr>
          <w:rFonts w:eastAsia="Times New Roman" w:cs="Times New Roman"/>
          <w:color w:val="000000"/>
          <w:sz w:val="24"/>
          <w:szCs w:val="24"/>
        </w:rPr>
        <w:t>Stainless steel devices in prior use (e.g.</w:t>
      </w:r>
      <w:r w:rsidR="00326A90">
        <w:rPr>
          <w:rFonts w:eastAsia="Times New Roman" w:cs="Times New Roman"/>
          <w:color w:val="000000"/>
          <w:sz w:val="24"/>
          <w:szCs w:val="24"/>
        </w:rPr>
        <w:t>,</w:t>
      </w:r>
      <w:r w:rsidRPr="00097F34">
        <w:rPr>
          <w:rFonts w:eastAsia="Times New Roman" w:cs="Times New Roman"/>
          <w:color w:val="000000"/>
          <w:sz w:val="24"/>
          <w:szCs w:val="24"/>
        </w:rPr>
        <w:t xml:space="preserve"> </w:t>
      </w:r>
      <w:proofErr w:type="spellStart"/>
      <w:r w:rsidRPr="00097F34">
        <w:rPr>
          <w:rFonts w:eastAsia="Times New Roman" w:cs="Times New Roman"/>
          <w:color w:val="000000"/>
          <w:sz w:val="24"/>
          <w:szCs w:val="24"/>
        </w:rPr>
        <w:t>sublaminar</w:t>
      </w:r>
      <w:proofErr w:type="spellEnd"/>
      <w:r w:rsidRPr="00097F34">
        <w:rPr>
          <w:rFonts w:eastAsia="Times New Roman" w:cs="Times New Roman"/>
          <w:color w:val="000000"/>
          <w:sz w:val="24"/>
          <w:szCs w:val="24"/>
        </w:rPr>
        <w:t xml:space="preserve"> wiring, </w:t>
      </w:r>
      <w:proofErr w:type="spellStart"/>
      <w:r w:rsidRPr="00097F34">
        <w:rPr>
          <w:rFonts w:eastAsia="Times New Roman" w:cs="Times New Roman"/>
          <w:color w:val="000000"/>
          <w:sz w:val="24"/>
          <w:szCs w:val="24"/>
        </w:rPr>
        <w:t>Luque</w:t>
      </w:r>
      <w:proofErr w:type="spellEnd"/>
      <w:r w:rsidRPr="00097F34">
        <w:rPr>
          <w:rFonts w:eastAsia="Times New Roman" w:cs="Times New Roman"/>
          <w:color w:val="000000"/>
          <w:sz w:val="24"/>
          <w:szCs w:val="24"/>
        </w:rPr>
        <w:t xml:space="preserve"> and Harrington rods) are highly ferromagnetic and generally will produce severe distortion of the regional anatomy resulting in a no</w:t>
      </w:r>
      <w:r w:rsidR="00097F34">
        <w:rPr>
          <w:rFonts w:eastAsia="Times New Roman" w:cs="Times New Roman"/>
          <w:color w:val="000000"/>
          <w:sz w:val="24"/>
          <w:szCs w:val="24"/>
        </w:rPr>
        <w:t>n-diagnostic MR</w:t>
      </w:r>
      <w:r w:rsidR="00326A90">
        <w:rPr>
          <w:rFonts w:eastAsia="Times New Roman" w:cs="Times New Roman"/>
          <w:color w:val="000000"/>
          <w:sz w:val="24"/>
          <w:szCs w:val="24"/>
        </w:rPr>
        <w:t>I</w:t>
      </w:r>
      <w:r w:rsidR="00097F34">
        <w:rPr>
          <w:rFonts w:eastAsia="Times New Roman" w:cs="Times New Roman"/>
          <w:color w:val="000000"/>
          <w:sz w:val="24"/>
          <w:szCs w:val="24"/>
        </w:rPr>
        <w:t xml:space="preserve"> study. </w:t>
      </w:r>
      <w:r w:rsidRPr="00097F34">
        <w:rPr>
          <w:rFonts w:eastAsia="Times New Roman" w:cs="Times New Roman"/>
          <w:color w:val="000000"/>
          <w:sz w:val="24"/>
          <w:szCs w:val="24"/>
        </w:rPr>
        <w:t>The modern metal alloys used in current instrumentation are more “MRI friendly” resulting in a vastly improved depiction of the conten</w:t>
      </w:r>
      <w:r w:rsidR="00097F34">
        <w:rPr>
          <w:rFonts w:eastAsia="Times New Roman" w:cs="Times New Roman"/>
          <w:color w:val="000000"/>
          <w:sz w:val="24"/>
          <w:szCs w:val="24"/>
        </w:rPr>
        <w:t xml:space="preserve">ts of the spinal canal on MRI. </w:t>
      </w:r>
      <w:r w:rsidRPr="00097F34">
        <w:rPr>
          <w:rFonts w:eastAsia="Times New Roman" w:cs="Times New Roman"/>
          <w:color w:val="000000"/>
          <w:sz w:val="24"/>
          <w:szCs w:val="24"/>
        </w:rPr>
        <w:t>However, local artifacts are still apparent which do negate useable signal</w:t>
      </w:r>
      <w:r w:rsidR="00326A90">
        <w:rPr>
          <w:rFonts w:eastAsia="Times New Roman" w:cs="Times New Roman"/>
          <w:color w:val="000000"/>
          <w:sz w:val="24"/>
          <w:szCs w:val="24"/>
        </w:rPr>
        <w:t>s</w:t>
      </w:r>
      <w:r w:rsidRPr="00097F34">
        <w:rPr>
          <w:rFonts w:eastAsia="Times New Roman" w:cs="Times New Roman"/>
          <w:color w:val="000000"/>
          <w:sz w:val="24"/>
          <w:szCs w:val="24"/>
        </w:rPr>
        <w:t xml:space="preserve"> f</w:t>
      </w:r>
      <w:r w:rsidR="00097F34">
        <w:rPr>
          <w:rFonts w:eastAsia="Times New Roman" w:cs="Times New Roman"/>
          <w:color w:val="000000"/>
          <w:sz w:val="24"/>
          <w:szCs w:val="24"/>
        </w:rPr>
        <w:t xml:space="preserve">rom the adjacent soft tissues. </w:t>
      </w:r>
      <w:r w:rsidRPr="00097F34">
        <w:rPr>
          <w:rFonts w:eastAsia="Times New Roman" w:cs="Times New Roman"/>
          <w:color w:val="000000"/>
          <w:sz w:val="24"/>
          <w:szCs w:val="24"/>
        </w:rPr>
        <w:t>In general, the more extensive and complex the hardware geometry, t</w:t>
      </w:r>
      <w:r w:rsidR="00097F34">
        <w:rPr>
          <w:rFonts w:eastAsia="Times New Roman" w:cs="Times New Roman"/>
          <w:color w:val="000000"/>
          <w:sz w:val="24"/>
          <w:szCs w:val="24"/>
        </w:rPr>
        <w:t xml:space="preserve">he greater the local artifact. </w:t>
      </w:r>
      <w:r w:rsidRPr="00097F34">
        <w:rPr>
          <w:rFonts w:eastAsia="Times New Roman" w:cs="Times New Roman"/>
          <w:color w:val="000000"/>
          <w:sz w:val="24"/>
          <w:szCs w:val="24"/>
        </w:rPr>
        <w:t>As a general rule, cervical anterior fixation plates and lateral mass rods/screws produce little local artifact and do not affect visualization of the spinal canal (and spinal cord) presumably due to the smaller caliber and mass of these implants, although lateral mass instrumentation does diminish the quality of eval</w:t>
      </w:r>
      <w:r w:rsidR="00097F34">
        <w:rPr>
          <w:rFonts w:eastAsia="Times New Roman" w:cs="Times New Roman"/>
          <w:color w:val="000000"/>
          <w:sz w:val="24"/>
          <w:szCs w:val="24"/>
        </w:rPr>
        <w:t xml:space="preserve">uation of the neural foramina. </w:t>
      </w:r>
      <w:r w:rsidRPr="00097F34">
        <w:rPr>
          <w:rFonts w:eastAsia="Times New Roman" w:cs="Times New Roman"/>
          <w:color w:val="000000"/>
          <w:sz w:val="24"/>
          <w:szCs w:val="24"/>
        </w:rPr>
        <w:t>Pedicle screws and posterior fixation rods frequently result in the largest areas of local artifact that can extend into the spinal canal and obliterate useabl</w:t>
      </w:r>
      <w:r w:rsidR="00097F34">
        <w:rPr>
          <w:rFonts w:eastAsia="Times New Roman" w:cs="Times New Roman"/>
          <w:color w:val="000000"/>
          <w:sz w:val="24"/>
          <w:szCs w:val="24"/>
        </w:rPr>
        <w:t xml:space="preserve">e signal from the spinal cord. </w:t>
      </w:r>
      <w:r w:rsidRPr="00097F34">
        <w:rPr>
          <w:rFonts w:eastAsia="Times New Roman" w:cs="Times New Roman"/>
          <w:color w:val="000000"/>
          <w:sz w:val="24"/>
          <w:szCs w:val="24"/>
        </w:rPr>
        <w:t xml:space="preserve">Cross-link stabilizers on posterior fixation rods are particularly problematic and can produce large areas of signal dropout that preclude any reliable </w:t>
      </w:r>
      <w:r w:rsidR="00097F34">
        <w:rPr>
          <w:rFonts w:eastAsia="Times New Roman" w:cs="Times New Roman"/>
          <w:color w:val="000000"/>
          <w:sz w:val="24"/>
          <w:szCs w:val="24"/>
        </w:rPr>
        <w:t xml:space="preserve">assessment of the spinal cord. </w:t>
      </w:r>
      <w:r w:rsidRPr="00097F34">
        <w:rPr>
          <w:rFonts w:eastAsia="Times New Roman" w:cs="Times New Roman"/>
          <w:color w:val="000000"/>
          <w:sz w:val="24"/>
          <w:szCs w:val="24"/>
        </w:rPr>
        <w:t xml:space="preserve">There are several ways to mitigate the instrumentation artifact on MRI: (1) counseling the spine surgeon prior to placement of instrumentation and avoiding use of cross-links and wiring over the injured areas whenever possible, (2) adjustment of the MR acquisition protocol to minimize </w:t>
      </w:r>
      <w:r w:rsidR="00097F34">
        <w:rPr>
          <w:rFonts w:eastAsia="Times New Roman" w:cs="Times New Roman"/>
          <w:color w:val="000000"/>
          <w:sz w:val="24"/>
          <w:szCs w:val="24"/>
        </w:rPr>
        <w:t xml:space="preserve">artifact from instrumentation. </w:t>
      </w:r>
      <w:r w:rsidRPr="00097F34">
        <w:rPr>
          <w:rFonts w:eastAsia="Times New Roman" w:cs="Times New Roman"/>
          <w:color w:val="000000"/>
          <w:sz w:val="24"/>
          <w:szCs w:val="24"/>
        </w:rPr>
        <w:t>This includes avoidance of active fast suppression and gradient e</w:t>
      </w:r>
      <w:r w:rsidR="00097F34">
        <w:rPr>
          <w:rFonts w:eastAsia="Times New Roman" w:cs="Times New Roman"/>
          <w:color w:val="000000"/>
          <w:sz w:val="24"/>
          <w:szCs w:val="24"/>
        </w:rPr>
        <w:t xml:space="preserve">cho family of pulse sequences. </w:t>
      </w:r>
      <w:r w:rsidRPr="00097F34">
        <w:rPr>
          <w:rFonts w:eastAsia="Times New Roman" w:cs="Times New Roman"/>
          <w:color w:val="000000"/>
          <w:sz w:val="24"/>
          <w:szCs w:val="24"/>
        </w:rPr>
        <w:t>Wide receiver bandwidth should be employed in all fast spin</w:t>
      </w:r>
      <w:r w:rsidR="00097F34">
        <w:rPr>
          <w:rFonts w:eastAsia="Times New Roman" w:cs="Times New Roman"/>
          <w:color w:val="000000"/>
          <w:sz w:val="24"/>
          <w:szCs w:val="24"/>
        </w:rPr>
        <w:t xml:space="preserve">-echo techniques. </w:t>
      </w:r>
      <w:r w:rsidRPr="00097F34">
        <w:rPr>
          <w:rFonts w:eastAsia="Times New Roman" w:cs="Times New Roman"/>
          <w:color w:val="000000"/>
          <w:sz w:val="24"/>
          <w:szCs w:val="24"/>
        </w:rPr>
        <w:t>Advanced imaging (e.g.</w:t>
      </w:r>
      <w:r w:rsidR="00326A90">
        <w:rPr>
          <w:rFonts w:eastAsia="Times New Roman" w:cs="Times New Roman"/>
          <w:color w:val="000000"/>
          <w:sz w:val="24"/>
          <w:szCs w:val="24"/>
        </w:rPr>
        <w:t>,</w:t>
      </w:r>
      <w:r w:rsidRPr="00097F34">
        <w:rPr>
          <w:rFonts w:eastAsia="Times New Roman" w:cs="Times New Roman"/>
          <w:color w:val="000000"/>
          <w:sz w:val="24"/>
          <w:szCs w:val="24"/>
        </w:rPr>
        <w:t xml:space="preserve"> spectroscopy, </w:t>
      </w:r>
      <w:r w:rsidR="00027DEA" w:rsidRPr="00097F34">
        <w:rPr>
          <w:rFonts w:eastAsia="Times New Roman" w:cs="Times New Roman"/>
          <w:color w:val="000000"/>
          <w:sz w:val="24"/>
          <w:szCs w:val="24"/>
        </w:rPr>
        <w:t>DTI</w:t>
      </w:r>
      <w:r w:rsidR="00AE3AFE">
        <w:rPr>
          <w:rFonts w:eastAsia="Times New Roman" w:cs="Times New Roman"/>
          <w:color w:val="000000"/>
          <w:sz w:val="24"/>
          <w:szCs w:val="24"/>
        </w:rPr>
        <w:t>,</w:t>
      </w:r>
      <w:r w:rsidR="00027DEA" w:rsidRPr="00097F34">
        <w:rPr>
          <w:rFonts w:eastAsia="Times New Roman" w:cs="Times New Roman"/>
          <w:color w:val="000000"/>
          <w:sz w:val="24"/>
          <w:szCs w:val="24"/>
        </w:rPr>
        <w:t xml:space="preserve"> and MT </w:t>
      </w:r>
      <w:r w:rsidRPr="00097F34">
        <w:rPr>
          <w:rFonts w:eastAsia="Times New Roman" w:cs="Times New Roman"/>
          <w:color w:val="000000"/>
          <w:sz w:val="24"/>
          <w:szCs w:val="24"/>
        </w:rPr>
        <w:t>imaging) should be avoided in the instrumented patients as even the mild perturbations introduced to the magnetic homogeneity will have deleterious consequences on the results.</w:t>
      </w:r>
    </w:p>
    <w:p w:rsidR="00DC1430" w:rsidRPr="005059CC" w:rsidRDefault="00DC1430" w:rsidP="00097F34">
      <w:pPr>
        <w:numPr>
          <w:ilvl w:val="0"/>
          <w:numId w:val="1"/>
        </w:numPr>
        <w:spacing w:before="120" w:after="60"/>
        <w:textAlignment w:val="baseline"/>
        <w:rPr>
          <w:rFonts w:cs="Times New Roman"/>
          <w:bCs/>
          <w:sz w:val="24"/>
          <w:szCs w:val="24"/>
        </w:rPr>
      </w:pPr>
      <w:r w:rsidRPr="005059CC">
        <w:rPr>
          <w:rFonts w:eastAsia="Times New Roman" w:cs="Times New Roman"/>
          <w:sz w:val="24"/>
          <w:szCs w:val="24"/>
        </w:rPr>
        <w:t xml:space="preserve">Pediatric: There are risks, benefits and needs for imaging studies in children </w:t>
      </w:r>
      <w:r w:rsidR="004C2C59" w:rsidRPr="005059CC">
        <w:rPr>
          <w:rFonts w:eastAsia="Times New Roman" w:cs="Times New Roman"/>
          <w:sz w:val="24"/>
          <w:szCs w:val="24"/>
        </w:rPr>
        <w:t xml:space="preserve">under 7 </w:t>
      </w:r>
      <w:r w:rsidRPr="005059CC">
        <w:rPr>
          <w:rFonts w:eastAsia="Times New Roman" w:cs="Times New Roman"/>
          <w:sz w:val="24"/>
          <w:szCs w:val="24"/>
        </w:rPr>
        <w:t>who require sedation.</w:t>
      </w:r>
    </w:p>
    <w:p w:rsidR="00F13706" w:rsidRPr="00097F34" w:rsidRDefault="00F13706" w:rsidP="00097F34">
      <w:pPr>
        <w:spacing w:before="120" w:after="60"/>
        <w:rPr>
          <w:rFonts w:cs="Times New Roman"/>
          <w:sz w:val="24"/>
          <w:szCs w:val="24"/>
        </w:rPr>
      </w:pPr>
    </w:p>
    <w:p w:rsidR="002F439C" w:rsidRDefault="003F4592" w:rsidP="00097F34">
      <w:pPr>
        <w:spacing w:before="120" w:after="60"/>
        <w:rPr>
          <w:rFonts w:cs="Times New Roman"/>
          <w:sz w:val="24"/>
          <w:szCs w:val="24"/>
        </w:rPr>
      </w:pPr>
      <w:r w:rsidRPr="00B14ED0">
        <w:rPr>
          <w:rFonts w:cs="Times New Roman"/>
          <w:sz w:val="24"/>
          <w:szCs w:val="24"/>
        </w:rPr>
        <w:t>While the clinical assessment and grading of individual patients is performed using standard instruments at the point-of-care, the NINDS SCI Imaging WG recommends that assessment of individual patient MR imaging studies be performed in a centralized manner by imaging experts who are v</w:t>
      </w:r>
      <w:r w:rsidR="00097F34">
        <w:rPr>
          <w:rFonts w:cs="Times New Roman"/>
          <w:sz w:val="24"/>
          <w:szCs w:val="24"/>
        </w:rPr>
        <w:t xml:space="preserve">ersed in the SCI Imaging CDEs. </w:t>
      </w:r>
      <w:r w:rsidRPr="00B14ED0">
        <w:rPr>
          <w:rFonts w:cs="Times New Roman"/>
          <w:sz w:val="24"/>
          <w:szCs w:val="24"/>
        </w:rPr>
        <w:t xml:space="preserve">This is to minimize variability in imaging assessment and maximize the potential value of the </w:t>
      </w:r>
      <w:r w:rsidR="00F25D7B" w:rsidRPr="00B14ED0">
        <w:rPr>
          <w:rFonts w:cs="Times New Roman"/>
          <w:sz w:val="24"/>
          <w:szCs w:val="24"/>
        </w:rPr>
        <w:t xml:space="preserve">NINDS Imaging </w:t>
      </w:r>
      <w:r w:rsidR="00097F34">
        <w:rPr>
          <w:rFonts w:cs="Times New Roman"/>
          <w:sz w:val="24"/>
          <w:szCs w:val="24"/>
        </w:rPr>
        <w:t>CDE instrument.</w:t>
      </w:r>
      <w:r w:rsidRPr="00B14ED0">
        <w:rPr>
          <w:rFonts w:cs="Times New Roman"/>
          <w:sz w:val="24"/>
          <w:szCs w:val="24"/>
        </w:rPr>
        <w:t xml:space="preserve"> There are tools </w:t>
      </w:r>
      <w:r w:rsidRPr="00B14ED0">
        <w:rPr>
          <w:rFonts w:cs="Times New Roman"/>
          <w:sz w:val="24"/>
          <w:szCs w:val="24"/>
        </w:rPr>
        <w:lastRenderedPageBreak/>
        <w:t>available (both commercially and in the open-source market) that will facilitate secure transmission of medical images to a single repository for central review.</w:t>
      </w:r>
      <w:r>
        <w:rPr>
          <w:rFonts w:cs="Times New Roman"/>
          <w:sz w:val="24"/>
          <w:szCs w:val="24"/>
        </w:rPr>
        <w:t xml:space="preserve"> </w:t>
      </w:r>
    </w:p>
    <w:p w:rsidR="00AE3AFE" w:rsidRDefault="00AE3AFE" w:rsidP="00097F34">
      <w:pPr>
        <w:spacing w:before="120" w:after="60"/>
        <w:rPr>
          <w:rFonts w:cs="Times New Roman"/>
          <w:sz w:val="24"/>
          <w:szCs w:val="24"/>
        </w:rPr>
      </w:pPr>
    </w:p>
    <w:p w:rsidR="00AE3AFE" w:rsidRDefault="00AE3AFE" w:rsidP="00097F34">
      <w:pPr>
        <w:spacing w:before="120" w:after="60"/>
        <w:rPr>
          <w:rFonts w:cs="Times New Roman"/>
          <w:sz w:val="24"/>
          <w:szCs w:val="24"/>
        </w:rPr>
      </w:pPr>
      <w:r>
        <w:rPr>
          <w:rFonts w:cs="Times New Roman"/>
          <w:sz w:val="24"/>
          <w:szCs w:val="24"/>
        </w:rPr>
        <w:t>References</w:t>
      </w:r>
    </w:p>
    <w:p w:rsidR="00902491" w:rsidRPr="00902491" w:rsidRDefault="00ED0B28" w:rsidP="00902491">
      <w:pPr>
        <w:pStyle w:val="EndNoteBibliography"/>
        <w:ind w:left="720" w:hanging="720"/>
      </w:pPr>
      <w:r>
        <w:rPr>
          <w:sz w:val="24"/>
          <w:szCs w:val="24"/>
        </w:rPr>
        <w:fldChar w:fldCharType="begin"/>
      </w:r>
      <w:r w:rsidR="002F439C">
        <w:rPr>
          <w:sz w:val="24"/>
          <w:szCs w:val="24"/>
        </w:rPr>
        <w:instrText xml:space="preserve"> ADDIN EN.REFLIST </w:instrText>
      </w:r>
      <w:r>
        <w:rPr>
          <w:sz w:val="24"/>
          <w:szCs w:val="24"/>
        </w:rPr>
        <w:fldChar w:fldCharType="separate"/>
      </w:r>
      <w:r w:rsidR="00902491" w:rsidRPr="00902491">
        <w:t xml:space="preserve">Bracken, M. B., Shepard, M. J., Holford, T. R., Leo-Summers, L., Aldrich, E. F., Fazl, M., . . . Young, W. (1997). Administration of methylprednisolone for 24 or 48 hours or tirilazad mesylate for 48 hours in the treatment of acute spinal cord injury. Results of the Third National Acute Spinal Cord Injury Randomized Controlled Trial. National Acute Spinal Cord Injury Study. </w:t>
      </w:r>
      <w:r w:rsidR="00902491" w:rsidRPr="00902491">
        <w:rPr>
          <w:i/>
        </w:rPr>
        <w:t>Jama, 277</w:t>
      </w:r>
      <w:r w:rsidR="00902491" w:rsidRPr="00902491">
        <w:t xml:space="preserve">(20), 1597-1604. </w:t>
      </w:r>
    </w:p>
    <w:p w:rsidR="00902491" w:rsidRPr="00902491" w:rsidRDefault="00902491" w:rsidP="00902491">
      <w:pPr>
        <w:pStyle w:val="EndNoteBibliography"/>
        <w:ind w:left="720" w:hanging="720"/>
      </w:pPr>
      <w:r w:rsidRPr="00902491">
        <w:t xml:space="preserve">Bracken, M. B., Shepard, M. J., Holford, T. R., Leo-Summers, L., Aldrich, E. F., Fazl, M., . . . Young, W. (1998). Methylprednisolone or tirilazad mesylate administration after acute spinal cord injury: 1-year follow up. Results of the third National Acute Spinal Cord Injury randomized controlled trial. </w:t>
      </w:r>
      <w:r w:rsidRPr="00902491">
        <w:rPr>
          <w:i/>
        </w:rPr>
        <w:t>J Neurosurg, 89</w:t>
      </w:r>
      <w:r w:rsidRPr="00902491">
        <w:t>(5), 699-706. doi:10.3171/jns.1998.89.5.0699</w:t>
      </w:r>
    </w:p>
    <w:p w:rsidR="00902491" w:rsidRPr="00902491" w:rsidRDefault="00902491" w:rsidP="00902491">
      <w:pPr>
        <w:pStyle w:val="EndNoteBibliography"/>
        <w:ind w:left="720" w:hanging="720"/>
      </w:pPr>
      <w:r w:rsidRPr="00902491">
        <w:t xml:space="preserve">Leypold, B. G., Flanders, A. E., &amp; Burns, A. S. (2008). The early evolution of spinal cord lesions on MR imaging following traumatic spinal cord injury. </w:t>
      </w:r>
      <w:r w:rsidRPr="00902491">
        <w:rPr>
          <w:i/>
        </w:rPr>
        <w:t>AJNR Am J Neuroradiol, 29</w:t>
      </w:r>
      <w:r w:rsidRPr="00902491">
        <w:t>(5), 1012-1016. doi:10.3174/ajnr.A0962</w:t>
      </w:r>
    </w:p>
    <w:p w:rsidR="00902491" w:rsidRPr="00902491" w:rsidRDefault="00902491" w:rsidP="00902491">
      <w:pPr>
        <w:pStyle w:val="EndNoteBibliography"/>
        <w:ind w:left="720" w:hanging="720"/>
      </w:pPr>
      <w:r w:rsidRPr="00902491">
        <w:t xml:space="preserve">Leypold, B. G., Flanders, A. E., Schwartz, E. D., &amp; Burns, A. S. (2007). The impact of methylprednisolone on lesion severity following spinal cord injury. </w:t>
      </w:r>
      <w:r w:rsidRPr="00902491">
        <w:rPr>
          <w:i/>
        </w:rPr>
        <w:t>Spine (Phila Pa 1976), 32</w:t>
      </w:r>
      <w:r w:rsidRPr="00902491">
        <w:t>(3), 373-378; discussion 379-381. doi:10.1097/01.brs.0000253964.10701.00</w:t>
      </w:r>
    </w:p>
    <w:p w:rsidR="00B56FFF" w:rsidRPr="00931B65" w:rsidRDefault="00ED0B28" w:rsidP="00097F34">
      <w:pPr>
        <w:spacing w:before="120" w:after="60"/>
        <w:rPr>
          <w:rFonts w:cs="Times New Roman"/>
          <w:sz w:val="24"/>
          <w:szCs w:val="24"/>
        </w:rPr>
      </w:pPr>
      <w:r>
        <w:rPr>
          <w:rFonts w:cs="Times New Roman"/>
          <w:sz w:val="24"/>
          <w:szCs w:val="24"/>
        </w:rPr>
        <w:fldChar w:fldCharType="end"/>
      </w:r>
    </w:p>
    <w:sectPr w:rsidR="00B56FFF" w:rsidRPr="00931B65" w:rsidSect="00F137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A90" w:rsidRDefault="00326A90" w:rsidP="00725DA8">
      <w:r>
        <w:separator/>
      </w:r>
    </w:p>
  </w:endnote>
  <w:endnote w:type="continuationSeparator" w:id="0">
    <w:p w:rsidR="00326A90" w:rsidRDefault="00326A90" w:rsidP="00725D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0" w:rsidRDefault="00326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0" w:rsidRDefault="00326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0" w:rsidRDefault="00326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A90" w:rsidRDefault="00326A90" w:rsidP="00725DA8">
      <w:r>
        <w:separator/>
      </w:r>
    </w:p>
  </w:footnote>
  <w:footnote w:type="continuationSeparator" w:id="0">
    <w:p w:rsidR="00326A90" w:rsidRDefault="00326A90" w:rsidP="00725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0" w:rsidRDefault="00326A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0" w:rsidRDefault="00326A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0" w:rsidRDefault="00326A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4F7"/>
    <w:multiLevelType w:val="multilevel"/>
    <w:tmpl w:val="C5E4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wa59v092spwfe2zv0xrszka2w9pxzzz2sf&quot;&gt;NINDSCDEs&lt;record-ids&gt;&lt;item&gt;1861&lt;/item&gt;&lt;item&gt;1862&lt;/item&gt;&lt;item&gt;1869&lt;/item&gt;&lt;item&gt;1870&lt;/item&gt;&lt;/record-ids&gt;&lt;/item&gt;&lt;/Libraries&gt;"/>
  </w:docVars>
  <w:rsids>
    <w:rsidRoot w:val="00411227"/>
    <w:rsid w:val="00027DEA"/>
    <w:rsid w:val="00097F34"/>
    <w:rsid w:val="00165D9B"/>
    <w:rsid w:val="00173BA6"/>
    <w:rsid w:val="00224220"/>
    <w:rsid w:val="00256764"/>
    <w:rsid w:val="002E3A5A"/>
    <w:rsid w:val="002E5EE0"/>
    <w:rsid w:val="002F439C"/>
    <w:rsid w:val="00321AC2"/>
    <w:rsid w:val="00326A90"/>
    <w:rsid w:val="003A3CC7"/>
    <w:rsid w:val="003F4592"/>
    <w:rsid w:val="00411227"/>
    <w:rsid w:val="00463FF5"/>
    <w:rsid w:val="00465F27"/>
    <w:rsid w:val="004B4BD0"/>
    <w:rsid w:val="004C2C59"/>
    <w:rsid w:val="004C641E"/>
    <w:rsid w:val="005059CC"/>
    <w:rsid w:val="00547528"/>
    <w:rsid w:val="00547827"/>
    <w:rsid w:val="00550F36"/>
    <w:rsid w:val="00573EEC"/>
    <w:rsid w:val="006237CA"/>
    <w:rsid w:val="006616B5"/>
    <w:rsid w:val="00667C0D"/>
    <w:rsid w:val="007205F6"/>
    <w:rsid w:val="00725DA8"/>
    <w:rsid w:val="00737AED"/>
    <w:rsid w:val="00902491"/>
    <w:rsid w:val="00931B65"/>
    <w:rsid w:val="00964616"/>
    <w:rsid w:val="009A4235"/>
    <w:rsid w:val="009B2802"/>
    <w:rsid w:val="009C2AF2"/>
    <w:rsid w:val="009E5425"/>
    <w:rsid w:val="009F4657"/>
    <w:rsid w:val="00AA7C03"/>
    <w:rsid w:val="00AB2649"/>
    <w:rsid w:val="00AE3AFE"/>
    <w:rsid w:val="00B14ED0"/>
    <w:rsid w:val="00B37C35"/>
    <w:rsid w:val="00B56FFF"/>
    <w:rsid w:val="00B73D58"/>
    <w:rsid w:val="00D73FDE"/>
    <w:rsid w:val="00DC1430"/>
    <w:rsid w:val="00DE4BEB"/>
    <w:rsid w:val="00E85296"/>
    <w:rsid w:val="00EA68EA"/>
    <w:rsid w:val="00ED0B28"/>
    <w:rsid w:val="00ED1958"/>
    <w:rsid w:val="00F13706"/>
    <w:rsid w:val="00F25D7B"/>
    <w:rsid w:val="00F44D4A"/>
    <w:rsid w:val="00F771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27"/>
    <w:pPr>
      <w:spacing w:after="0" w:line="240" w:lineRule="auto"/>
    </w:pPr>
    <w:rPr>
      <w:rFonts w:ascii="Times New Roman" w:hAnsi="Times New Roman"/>
      <w:sz w:val="20"/>
      <w:szCs w:val="20"/>
    </w:rPr>
  </w:style>
  <w:style w:type="paragraph" w:styleId="Heading1">
    <w:name w:val="heading 1"/>
    <w:basedOn w:val="Heading2"/>
    <w:next w:val="Normal"/>
    <w:link w:val="Heading1Char"/>
    <w:uiPriority w:val="9"/>
    <w:qFormat/>
    <w:rsid w:val="00097F34"/>
    <w:pPr>
      <w:outlineLvl w:val="0"/>
    </w:pPr>
  </w:style>
  <w:style w:type="paragraph" w:styleId="Heading2">
    <w:name w:val="heading 2"/>
    <w:basedOn w:val="Normal"/>
    <w:next w:val="Normal"/>
    <w:link w:val="Heading2Char"/>
    <w:uiPriority w:val="9"/>
    <w:unhideWhenUsed/>
    <w:qFormat/>
    <w:rsid w:val="00097F34"/>
    <w:pPr>
      <w:jc w:val="center"/>
      <w:outlineLvl w:val="1"/>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5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592"/>
    <w:rPr>
      <w:rFonts w:ascii="Lucida Grande" w:hAnsi="Lucida Grande" w:cs="Lucida Grande"/>
      <w:sz w:val="18"/>
      <w:szCs w:val="18"/>
    </w:rPr>
  </w:style>
  <w:style w:type="character" w:customStyle="1" w:styleId="Heading2Char">
    <w:name w:val="Heading 2 Char"/>
    <w:basedOn w:val="DefaultParagraphFont"/>
    <w:link w:val="Heading2"/>
    <w:uiPriority w:val="9"/>
    <w:rsid w:val="00097F34"/>
    <w:rPr>
      <w:rFonts w:ascii="Times New Roman" w:hAnsi="Times New Roman" w:cs="Times New Roman"/>
      <w:b/>
      <w:bCs/>
      <w:color w:val="000000"/>
      <w:sz w:val="24"/>
      <w:szCs w:val="24"/>
    </w:rPr>
  </w:style>
  <w:style w:type="character" w:customStyle="1" w:styleId="Heading1Char">
    <w:name w:val="Heading 1 Char"/>
    <w:basedOn w:val="DefaultParagraphFont"/>
    <w:link w:val="Heading1"/>
    <w:uiPriority w:val="9"/>
    <w:rsid w:val="00097F34"/>
    <w:rPr>
      <w:rFonts w:ascii="Times New Roman" w:hAnsi="Times New Roman" w:cs="Times New Roman"/>
      <w:b/>
      <w:bCs/>
      <w:color w:val="000000"/>
      <w:sz w:val="24"/>
      <w:szCs w:val="24"/>
    </w:rPr>
  </w:style>
  <w:style w:type="paragraph" w:styleId="Header">
    <w:name w:val="header"/>
    <w:basedOn w:val="Normal"/>
    <w:link w:val="HeaderChar"/>
    <w:uiPriority w:val="99"/>
    <w:semiHidden/>
    <w:unhideWhenUsed/>
    <w:rsid w:val="00725DA8"/>
    <w:pPr>
      <w:tabs>
        <w:tab w:val="center" w:pos="4680"/>
        <w:tab w:val="right" w:pos="9360"/>
      </w:tabs>
    </w:pPr>
  </w:style>
  <w:style w:type="character" w:customStyle="1" w:styleId="HeaderChar">
    <w:name w:val="Header Char"/>
    <w:basedOn w:val="DefaultParagraphFont"/>
    <w:link w:val="Header"/>
    <w:uiPriority w:val="99"/>
    <w:semiHidden/>
    <w:rsid w:val="00725DA8"/>
    <w:rPr>
      <w:rFonts w:ascii="Times New Roman" w:hAnsi="Times New Roman"/>
      <w:sz w:val="20"/>
      <w:szCs w:val="20"/>
    </w:rPr>
  </w:style>
  <w:style w:type="paragraph" w:styleId="Footer">
    <w:name w:val="footer"/>
    <w:basedOn w:val="Normal"/>
    <w:link w:val="FooterChar"/>
    <w:uiPriority w:val="99"/>
    <w:semiHidden/>
    <w:unhideWhenUsed/>
    <w:rsid w:val="00725DA8"/>
    <w:pPr>
      <w:tabs>
        <w:tab w:val="center" w:pos="4680"/>
        <w:tab w:val="right" w:pos="9360"/>
      </w:tabs>
    </w:pPr>
  </w:style>
  <w:style w:type="character" w:customStyle="1" w:styleId="FooterChar">
    <w:name w:val="Footer Char"/>
    <w:basedOn w:val="DefaultParagraphFont"/>
    <w:link w:val="Footer"/>
    <w:uiPriority w:val="99"/>
    <w:semiHidden/>
    <w:rsid w:val="00725DA8"/>
    <w:rPr>
      <w:rFonts w:ascii="Times New Roman" w:hAnsi="Times New Roman"/>
      <w:sz w:val="20"/>
      <w:szCs w:val="20"/>
    </w:rPr>
  </w:style>
  <w:style w:type="paragraph" w:customStyle="1" w:styleId="EndNoteBibliographyTitle">
    <w:name w:val="EndNote Bibliography Title"/>
    <w:basedOn w:val="Normal"/>
    <w:link w:val="EndNoteBibliographyTitleChar"/>
    <w:rsid w:val="002F439C"/>
    <w:pPr>
      <w:jc w:val="center"/>
    </w:pPr>
    <w:rPr>
      <w:rFonts w:cs="Times New Roman"/>
      <w:noProof/>
    </w:rPr>
  </w:style>
  <w:style w:type="character" w:customStyle="1" w:styleId="EndNoteBibliographyTitleChar">
    <w:name w:val="EndNote Bibliography Title Char"/>
    <w:basedOn w:val="DefaultParagraphFont"/>
    <w:link w:val="EndNoteBibliographyTitle"/>
    <w:rsid w:val="002F439C"/>
    <w:rPr>
      <w:rFonts w:ascii="Times New Roman" w:hAnsi="Times New Roman" w:cs="Times New Roman"/>
      <w:noProof/>
      <w:sz w:val="20"/>
      <w:szCs w:val="20"/>
    </w:rPr>
  </w:style>
  <w:style w:type="paragraph" w:customStyle="1" w:styleId="EndNoteBibliography">
    <w:name w:val="EndNote Bibliography"/>
    <w:basedOn w:val="Normal"/>
    <w:link w:val="EndNoteBibliographyChar"/>
    <w:rsid w:val="002F439C"/>
    <w:rPr>
      <w:rFonts w:cs="Times New Roman"/>
      <w:noProof/>
    </w:rPr>
  </w:style>
  <w:style w:type="character" w:customStyle="1" w:styleId="EndNoteBibliographyChar">
    <w:name w:val="EndNote Bibliography Char"/>
    <w:basedOn w:val="DefaultParagraphFont"/>
    <w:link w:val="EndNoteBibliography"/>
    <w:rsid w:val="002F439C"/>
    <w:rPr>
      <w:rFonts w:ascii="Times New Roman" w:hAnsi="Times New Roman" w:cs="Times New Roman"/>
      <w:noProo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EE626-B2C2-4242-919B-3604FEA3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SCI CDE Imaging Guidelines</vt:lpstr>
    </vt:vector>
  </TitlesOfParts>
  <Company>The EMMES Corporation</Company>
  <LinksUpToDate>false</LinksUpToDate>
  <CharactersWithSpaces>12526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CDE Imaging Guidelines</dc:title>
  <dc:subject>Guideline Document</dc:subject>
  <dc:creator>NINDS</dc:creator>
  <cp:keywords>NINDS, Guideline Document, SCI CDE Imaging Guidelines</cp:keywords>
  <cp:lastModifiedBy>Muniza Sheikh</cp:lastModifiedBy>
  <cp:revision>2</cp:revision>
  <cp:lastPrinted>2015-12-21T19:39:00Z</cp:lastPrinted>
  <dcterms:created xsi:type="dcterms:W3CDTF">2016-01-22T02:35:00Z</dcterms:created>
  <dcterms:modified xsi:type="dcterms:W3CDTF">2016-01-22T02:35:00Z</dcterms:modified>
  <cp:category>Guideline Document</cp:category>
  <cp:contentStatus>508 Compliant</cp:contentStatus>
</cp:coreProperties>
</file>