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960" w:rsidRPr="00774C85" w:rsidRDefault="005D6960" w:rsidP="001F02B2">
      <w:pPr>
        <w:jc w:val="center"/>
        <w:rPr>
          <w:rFonts w:cs="Calibri"/>
          <w:bCs/>
        </w:rPr>
      </w:pPr>
      <w:bookmarkStart w:id="0" w:name="_GoBack"/>
      <w:bookmarkEnd w:id="0"/>
    </w:p>
    <w:p w:rsidR="006C3DC7" w:rsidRPr="00024478" w:rsidRDefault="005669AE" w:rsidP="001F02B2">
      <w:pPr>
        <w:jc w:val="center"/>
        <w:rPr>
          <w:rFonts w:cs="Calibri"/>
          <w:b/>
        </w:rPr>
      </w:pPr>
      <w:r w:rsidRPr="00024478">
        <w:rPr>
          <w:rFonts w:cs="Calibri"/>
          <w:b/>
        </w:rPr>
        <w:t>Summary Statement</w:t>
      </w:r>
      <w:r w:rsidR="006C3DC7" w:rsidRPr="00024478">
        <w:rPr>
          <w:rFonts w:cs="Calibri"/>
          <w:b/>
        </w:rPr>
        <w:t xml:space="preserve"> for Cognitive CDE</w:t>
      </w:r>
      <w:r w:rsidRPr="00024478">
        <w:rPr>
          <w:rFonts w:cs="Calibri"/>
          <w:b/>
        </w:rPr>
        <w:t>s</w:t>
      </w:r>
    </w:p>
    <w:p w:rsidR="00184AFC" w:rsidRDefault="008816FE">
      <w:r w:rsidRPr="00024478">
        <w:rPr>
          <w:rFonts w:cs="Calibri"/>
        </w:rPr>
        <w:t>This summary is the companion document to the NINDS Parkinson’s disease CDE Working Group – Cognitive Table (see</w:t>
      </w:r>
      <w:r w:rsidR="00024478" w:rsidRPr="00024478">
        <w:rPr>
          <w:rFonts w:cs="Calibri"/>
          <w:color w:val="0033CC"/>
        </w:rPr>
        <w:t xml:space="preserve"> </w:t>
      </w:r>
      <w:r w:rsidR="001E2F1F">
        <w:fldChar w:fldCharType="begin"/>
      </w:r>
      <w:r w:rsidR="001E2F1F">
        <w:instrText xml:space="preserve"> REF _Ref329080023 \h  \* MERGEFORMAT </w:instrText>
      </w:r>
      <w:r w:rsidR="001E2F1F">
        <w:fldChar w:fldCharType="separate"/>
      </w:r>
      <w:r w:rsidR="00024478" w:rsidRPr="00024478">
        <w:rPr>
          <w:rFonts w:cs="Calibri"/>
          <w:color w:val="0033CC"/>
          <w:u w:val="single"/>
        </w:rPr>
        <w:t xml:space="preserve">Table </w:t>
      </w:r>
      <w:r w:rsidR="00024478" w:rsidRPr="00024478">
        <w:rPr>
          <w:rFonts w:cs="Calibri"/>
          <w:noProof/>
          <w:color w:val="0033CC"/>
          <w:u w:val="single"/>
        </w:rPr>
        <w:t>1</w:t>
      </w:r>
      <w:r w:rsidR="00024478" w:rsidRPr="00024478">
        <w:rPr>
          <w:rFonts w:cs="Calibri"/>
          <w:color w:val="0033CC"/>
          <w:u w:val="single"/>
        </w:rPr>
        <w:t>: NINDS CDE Workgroup – Cognitive</w:t>
      </w:r>
      <w:r w:rsidR="001E2F1F">
        <w:fldChar w:fldCharType="end"/>
      </w:r>
      <w:r w:rsidRPr="00024478">
        <w:rPr>
          <w:rFonts w:cs="Calibri"/>
        </w:rPr>
        <w:t>).</w:t>
      </w:r>
      <w:r w:rsidRPr="00E3587B">
        <w:rPr>
          <w:rFonts w:ascii="Arial" w:hAnsi="Arial" w:cs="Arial"/>
        </w:rPr>
        <w:t xml:space="preserve"> </w:t>
      </w:r>
      <w:r w:rsidR="006C3DC7">
        <w:t>The goal of the NINDS CDE Cognitive subgroup was to recommend scales that can be readily used in data collection for clinical trials that</w:t>
      </w:r>
      <w:r w:rsidR="00FB6551">
        <w:t xml:space="preserve"> have broad applicability to</w:t>
      </w:r>
      <w:r w:rsidR="006C3DC7">
        <w:t xml:space="preserve"> all stages of PD. In the following sections, the Cognitive CDE group has endeavored to provide an objective assessment of 1</w:t>
      </w:r>
      <w:r w:rsidR="006C23F7">
        <w:t>1</w:t>
      </w:r>
      <w:r w:rsidR="006C3DC7">
        <w:t xml:space="preserve"> published scales including 3 PD</w:t>
      </w:r>
      <w:r w:rsidR="00774C85">
        <w:t>-</w:t>
      </w:r>
      <w:r w:rsidR="006C3DC7">
        <w:t xml:space="preserve">specific and </w:t>
      </w:r>
      <w:r w:rsidR="006C23F7">
        <w:t>8</w:t>
      </w:r>
      <w:r w:rsidR="006C3DC7">
        <w:t xml:space="preserve"> non-specific scales that may be used in clinical trials.  All scales that were available in </w:t>
      </w:r>
      <w:r w:rsidR="00184AFC">
        <w:t xml:space="preserve">the </w:t>
      </w:r>
      <w:r w:rsidR="006C3DC7">
        <w:t xml:space="preserve">English </w:t>
      </w:r>
      <w:r w:rsidR="00184AFC">
        <w:t xml:space="preserve">literature </w:t>
      </w:r>
      <w:r w:rsidR="006C3DC7">
        <w:t>were reviewed</w:t>
      </w:r>
      <w:r w:rsidR="00184AFC">
        <w:t>.</w:t>
      </w:r>
      <w:r w:rsidR="005C0975">
        <w:t xml:space="preserve"> </w:t>
      </w:r>
    </w:p>
    <w:p w:rsidR="006C3DC7" w:rsidRDefault="006C3DC7">
      <w:r>
        <w:t xml:space="preserve">The decision to provide ratings of global scales rather than individual neuropsychological tests or specific cognitive domains was based on several considerations. There are two basic approaches in cognitive testing: battery versus individual tests. Both approaches are widely applicable to PD. A battery is a collection of individual tests that assess different domains whereas individual tests can be used to look at </w:t>
      </w:r>
      <w:r w:rsidR="000B6165">
        <w:t>either a single domain or</w:t>
      </w:r>
      <w:r>
        <w:t xml:space="preserve"> subcomponents of a domain. We have chosen the battery approach for the following reasons:</w:t>
      </w:r>
    </w:p>
    <w:p w:rsidR="00E04E8C" w:rsidRDefault="00E04E8C">
      <w:r>
        <w:t xml:space="preserve">First, we have determined that it was beyond the scope of this panel to rate specific neuropsychological tests. As part of the process for the creation of the NIH Toolbox, an assessment tool </w:t>
      </w:r>
      <w:r w:rsidR="00563D0A">
        <w:t>that has been</w:t>
      </w:r>
      <w:r>
        <w:t xml:space="preserve"> develo</w:t>
      </w:r>
      <w:r w:rsidR="00563D0A">
        <w:t>ped</w:t>
      </w:r>
      <w:r>
        <w:t xml:space="preserve"> for the assessment of cognitive, motor, sensory and emotional </w:t>
      </w:r>
      <w:r w:rsidR="00852B36">
        <w:t xml:space="preserve">domains </w:t>
      </w:r>
      <w:r>
        <w:t>in individuals aged 3 – 85 years</w:t>
      </w:r>
      <w:r w:rsidR="009A3949">
        <w:t>,</w:t>
      </w:r>
      <w:r>
        <w:t xml:space="preserve"> a library of extant instruments was created for each of these major domains. The purpose of this information was to determine what the gold</w:t>
      </w:r>
      <w:r w:rsidR="00852B36">
        <w:t>-</w:t>
      </w:r>
      <w:r>
        <w:t>standard instruments were for the specific domain</w:t>
      </w:r>
      <w:r w:rsidR="00852B36">
        <w:t>s</w:t>
      </w:r>
      <w:r w:rsidR="009A3949">
        <w:t xml:space="preserve">; </w:t>
      </w:r>
      <w:r>
        <w:t xml:space="preserve">which </w:t>
      </w:r>
      <w:r w:rsidR="00852B36">
        <w:t xml:space="preserve">instruments </w:t>
      </w:r>
      <w:r>
        <w:t>had intellectual property constraints for use</w:t>
      </w:r>
      <w:r w:rsidR="009A3949">
        <w:t xml:space="preserve">; </w:t>
      </w:r>
      <w:r>
        <w:t>what pros and cons might be</w:t>
      </w:r>
      <w:r w:rsidR="0070676E">
        <w:t xml:space="preserve"> present that could influence including the instrument</w:t>
      </w:r>
      <w:r>
        <w:t xml:space="preserve"> in the Toolbox</w:t>
      </w:r>
      <w:r w:rsidR="009A3949">
        <w:t>;</w:t>
      </w:r>
      <w:r w:rsidR="003E7166">
        <w:t xml:space="preserve"> </w:t>
      </w:r>
      <w:r>
        <w:t xml:space="preserve">as well as what instruments would need to be developed de novo. </w:t>
      </w:r>
      <w:r w:rsidR="00852B36">
        <w:t>T</w:t>
      </w:r>
      <w:r>
        <w:t xml:space="preserve">his library is </w:t>
      </w:r>
      <w:r w:rsidR="00852B36">
        <w:t>currently available for</w:t>
      </w:r>
      <w:r>
        <w:t xml:space="preserve"> general access on the web</w:t>
      </w:r>
      <w:r w:rsidR="006A4711">
        <w:t xml:space="preserve"> (www.nihtoolbox.org)</w:t>
      </w:r>
      <w:r>
        <w:t xml:space="preserve">. For the </w:t>
      </w:r>
      <w:r w:rsidR="009A3949">
        <w:t xml:space="preserve">cognition </w:t>
      </w:r>
      <w:r>
        <w:t xml:space="preserve">domain, a battery of instruments </w:t>
      </w:r>
      <w:r w:rsidR="006A4711">
        <w:t xml:space="preserve">has </w:t>
      </w:r>
      <w:r>
        <w:t>been assembled that measure</w:t>
      </w:r>
      <w:r w:rsidR="006A4711">
        <w:t>s</w:t>
      </w:r>
      <w:r>
        <w:t xml:space="preserve"> the subdomains of attention, episodic memory, executive function including cognitive flexibility and inhibitory control, vocabulary comprehension, processing speed, and working memory. Concurrently, the entire set of Toolbox measures is being validated and normed.</w:t>
      </w:r>
    </w:p>
    <w:p w:rsidR="006C3DC7" w:rsidRDefault="006C3DC7">
      <w:r>
        <w:t>Second, the choice of cognitive assessment battery depends on the stage/severity of PD, and the study design.  Different batteries may be necessary when cognition is a primary endpoint, when cognition is an exploratory/secondary issue and where cognitive impairment may be an exclusion factor to study participation</w:t>
      </w:r>
      <w:r w:rsidR="005B6486">
        <w:t>.</w:t>
      </w:r>
    </w:p>
    <w:p w:rsidR="006C3DC7" w:rsidRDefault="003E7166">
      <w:r>
        <w:t xml:space="preserve">Third, there is no single accepted definition for PD dementia or PD-related Mild Cognitive Impairment. DSM-V was published in 2013, replacing the DSM-IV-TR. In the DSM-V, the diagnostic term, Dementia was replaced by "major neurocognitive disorder" (equivalent to dementia) and "mild neurocognitive disorder" (equivalent to mild cognitive impairment [MCI]). The diagnostic term, mild neurocognitive disorder, was a new addition to the DSM-V. For Parkinson's disease, these terms are listed as "major or minor neurocognitive disorder due to Parkinson's disease". In addition, dementia with Lewy bodies (DLB) is a distinct diagnosis in DSM-V ("major or mild neurocognitive disorder with Lewy bodies"). The Movement Disorder Society (MDS) has also published criteria for dementia (Emre et al., 2014) that </w:t>
      </w:r>
      <w:r>
        <w:lastRenderedPageBreak/>
        <w:t>require both cognitive and functional decline but do not require that the memory domain is impaired.  The MDS has published criteria for PD-MCI (Litvan et al., 2011) and there have been several publications to validate this construct.  In addition, several publications have focused on the validation of the scales that the Task Force suggested.  We recommend that a separate panel review the four usage categories defined in ‘1’ below, specifically for PD-MCI. This guideline is meant for dementia only. Rather than be prescriptive, we will not recommend scales as core or non-core.  We have provided three levels of information including:</w:t>
      </w:r>
    </w:p>
    <w:p w:rsidR="006C3DC7" w:rsidRDefault="006C3DC7" w:rsidP="00184AFC">
      <w:pPr>
        <w:pStyle w:val="ListParagraph"/>
        <w:numPr>
          <w:ilvl w:val="0"/>
          <w:numId w:val="1"/>
        </w:numPr>
      </w:pPr>
      <w:r>
        <w:t>NINDS CDE Workgroup-Cognitive Recommended CDEs</w:t>
      </w:r>
      <w:r w:rsidR="00C1212C">
        <w:t xml:space="preserve"> (</w:t>
      </w:r>
      <w:r w:rsidR="001E2F1F">
        <w:fldChar w:fldCharType="begin"/>
      </w:r>
      <w:r w:rsidR="001E2F1F">
        <w:instrText xml:space="preserve"> REF _Ref329080023 \h  \* MERGEFORMAT </w:instrText>
      </w:r>
      <w:r w:rsidR="001E2F1F">
        <w:fldChar w:fldCharType="separate"/>
      </w:r>
      <w:r w:rsidR="00C1212C" w:rsidRPr="00024478">
        <w:rPr>
          <w:rFonts w:cs="Calibri"/>
          <w:color w:val="0033CC"/>
          <w:u w:val="single"/>
        </w:rPr>
        <w:t xml:space="preserve">Table </w:t>
      </w:r>
      <w:r w:rsidR="00C1212C" w:rsidRPr="00024478">
        <w:rPr>
          <w:rFonts w:cs="Calibri"/>
          <w:noProof/>
          <w:color w:val="0033CC"/>
          <w:u w:val="single"/>
        </w:rPr>
        <w:t>1</w:t>
      </w:r>
      <w:r w:rsidR="00C1212C" w:rsidRPr="00024478">
        <w:rPr>
          <w:rFonts w:cs="Calibri"/>
          <w:color w:val="0033CC"/>
          <w:u w:val="single"/>
        </w:rPr>
        <w:t>: NINDS CDE Workgroup – Cognitive</w:t>
      </w:r>
      <w:r w:rsidR="001E2F1F">
        <w:fldChar w:fldCharType="end"/>
      </w:r>
      <w:r w:rsidR="00C1212C">
        <w:t>)</w:t>
      </w:r>
      <w:r w:rsidR="00055394">
        <w:t>:</w:t>
      </w:r>
      <w:r>
        <w:t xml:space="preserve"> Each scale was rated based on its utility in each of four usage categories: </w:t>
      </w:r>
      <w:r w:rsidR="00055394">
        <w:t>(</w:t>
      </w:r>
      <w:proofErr w:type="spellStart"/>
      <w:r w:rsidR="00055394">
        <w:t>i</w:t>
      </w:r>
      <w:proofErr w:type="spellEnd"/>
      <w:r w:rsidR="00055394">
        <w:t xml:space="preserve">) </w:t>
      </w:r>
      <w:r>
        <w:t xml:space="preserve">as a screening instrument for initial identification of a possible disorder or population of interest, </w:t>
      </w:r>
      <w:r w:rsidR="00055394">
        <w:t xml:space="preserve">(ii) </w:t>
      </w:r>
      <w:r>
        <w:t xml:space="preserve">as a rating scale for measurement of severity of the disorder or performance within the domain of interest, </w:t>
      </w:r>
      <w:r w:rsidR="00055394">
        <w:t xml:space="preserve">(iii) </w:t>
      </w:r>
      <w:r>
        <w:t xml:space="preserve">as a scale that is sensitive to longitudinal change, and </w:t>
      </w:r>
      <w:r w:rsidR="00055394">
        <w:t xml:space="preserve">(iv) </w:t>
      </w:r>
      <w:r>
        <w:t xml:space="preserve">as a diagnostic instrument that can categorize individuals into those with and without a disorder. Each category was rated based on a consensus among panel members using a score of </w:t>
      </w:r>
      <w:r w:rsidR="001F02B2">
        <w:t>1</w:t>
      </w:r>
      <w:r>
        <w:t xml:space="preserve"> to 3 (</w:t>
      </w:r>
      <w:r w:rsidR="001F02B2">
        <w:t>1</w:t>
      </w:r>
      <w:r>
        <w:t xml:space="preserve"> </w:t>
      </w:r>
      <w:r w:rsidR="001F02B2">
        <w:t>highest or best</w:t>
      </w:r>
      <w:r>
        <w:t>, 3</w:t>
      </w:r>
      <w:r w:rsidR="001F02B2">
        <w:t xml:space="preserve"> lowest or worst</w:t>
      </w:r>
      <w:r>
        <w:t>) or not available. The final column indicates the administration time for the instrument that varies based on the level of cognitive impairment.</w:t>
      </w:r>
    </w:p>
    <w:p w:rsidR="006C3DC7" w:rsidRDefault="006C3DC7" w:rsidP="006F3EEE">
      <w:pPr>
        <w:pStyle w:val="ListParagraph"/>
      </w:pPr>
    </w:p>
    <w:p w:rsidR="006C3DC7" w:rsidRDefault="006C3DC7" w:rsidP="00FC477B">
      <w:pPr>
        <w:pStyle w:val="ListParagraph"/>
        <w:numPr>
          <w:ilvl w:val="0"/>
          <w:numId w:val="1"/>
        </w:numPr>
      </w:pPr>
      <w:r>
        <w:t>Detailed summaries were provided for each scale including</w:t>
      </w:r>
      <w:r w:rsidR="001176A3">
        <w:t>:</w:t>
      </w:r>
    </w:p>
    <w:p w:rsidR="006C3DC7" w:rsidRDefault="006C3DC7" w:rsidP="002B2D34">
      <w:pPr>
        <w:pStyle w:val="ListParagraph"/>
        <w:numPr>
          <w:ilvl w:val="1"/>
          <w:numId w:val="1"/>
        </w:numPr>
      </w:pPr>
      <w:r>
        <w:t>Short description of the instrument including constructs measured (domains), generic vs</w:t>
      </w:r>
      <w:r w:rsidR="00055394">
        <w:t>.</w:t>
      </w:r>
      <w:r>
        <w:t xml:space="preserve"> disease specific, means of administration, intended respondent, number of items, subscales, and items per subscale, and scoring.</w:t>
      </w:r>
    </w:p>
    <w:p w:rsidR="006C3DC7" w:rsidRDefault="006C3DC7" w:rsidP="002B2D34">
      <w:pPr>
        <w:pStyle w:val="ListParagraph"/>
        <w:numPr>
          <w:ilvl w:val="1"/>
          <w:numId w:val="1"/>
        </w:numPr>
      </w:pPr>
      <w:r>
        <w:t xml:space="preserve"> Background</w:t>
      </w:r>
    </w:p>
    <w:p w:rsidR="006C3DC7" w:rsidRDefault="006C3DC7" w:rsidP="002B2D34">
      <w:pPr>
        <w:pStyle w:val="ListParagraph"/>
        <w:numPr>
          <w:ilvl w:val="1"/>
          <w:numId w:val="1"/>
        </w:numPr>
      </w:pPr>
      <w:r>
        <w:t>Key references</w:t>
      </w:r>
    </w:p>
    <w:p w:rsidR="006C3DC7" w:rsidRDefault="006C3DC7" w:rsidP="00FE23CD">
      <w:pPr>
        <w:pStyle w:val="ListParagraph"/>
        <w:numPr>
          <w:ilvl w:val="1"/>
          <w:numId w:val="1"/>
        </w:numPr>
      </w:pPr>
      <w:r>
        <w:t>Rationale including: Strengths/weaknesses</w:t>
      </w:r>
      <w:r w:rsidR="00774C85">
        <w:t>,</w:t>
      </w:r>
      <w:r>
        <w:t xml:space="preserve"> psychometric properties, purpose of tool, sensitivity to change, usage, availa</w:t>
      </w:r>
      <w:r w:rsidR="00C1212C">
        <w:t>bility</w:t>
      </w:r>
      <w:r w:rsidR="00774C85">
        <w:t>.</w:t>
      </w:r>
      <w:r w:rsidR="00C1212C">
        <w:t xml:space="preserve"> Further information on</w:t>
      </w:r>
      <w:r>
        <w:t xml:space="preserve"> definitions of psychometric properties can</w:t>
      </w:r>
      <w:r w:rsidR="00C1212C">
        <w:t xml:space="preserve"> be found in </w:t>
      </w:r>
      <w:r w:rsidR="00C1212C" w:rsidRPr="00736DD6">
        <w:rPr>
          <w:b/>
        </w:rPr>
        <w:t>A</w:t>
      </w:r>
      <w:r w:rsidR="00184AFC" w:rsidRPr="00736DD6">
        <w:rPr>
          <w:b/>
        </w:rPr>
        <w:t>ppendix</w:t>
      </w:r>
      <w:r w:rsidR="00C1212C" w:rsidRPr="00736DD6">
        <w:rPr>
          <w:b/>
        </w:rPr>
        <w:t xml:space="preserve"> A</w:t>
      </w:r>
      <w:r>
        <w:t>.</w:t>
      </w:r>
    </w:p>
    <w:p w:rsidR="006C3DC7" w:rsidRDefault="006C3DC7" w:rsidP="00FE23CD">
      <w:pPr>
        <w:pStyle w:val="ListParagraph"/>
      </w:pPr>
    </w:p>
    <w:p w:rsidR="009261CD" w:rsidRDefault="00F94550" w:rsidP="009261CD">
      <w:pPr>
        <w:pStyle w:val="ListParagraph"/>
        <w:ind w:left="360"/>
      </w:pPr>
      <w:r>
        <w:t>3</w:t>
      </w:r>
      <w:r w:rsidR="009261CD">
        <w:t>.</w:t>
      </w:r>
      <w:r w:rsidR="009261CD">
        <w:tab/>
        <w:t>Future Directions</w:t>
      </w:r>
    </w:p>
    <w:p w:rsidR="009261CD" w:rsidRPr="00FE23CD" w:rsidRDefault="009261CD" w:rsidP="009261CD">
      <w:pPr>
        <w:pStyle w:val="ListParagraph"/>
        <w:numPr>
          <w:ilvl w:val="0"/>
          <w:numId w:val="2"/>
        </w:numPr>
      </w:pPr>
      <w:r w:rsidRPr="00FE23CD">
        <w:t xml:space="preserve">Collaborative effort to determine </w:t>
      </w:r>
      <w:r w:rsidR="00BE3B42">
        <w:t xml:space="preserve">the </w:t>
      </w:r>
      <w:r w:rsidRPr="00FE23CD">
        <w:t>domains appropriate for</w:t>
      </w:r>
      <w:r w:rsidR="00BE3B42">
        <w:t xml:space="preserve"> a</w:t>
      </w:r>
      <w:r w:rsidRPr="00FE23CD">
        <w:t xml:space="preserve"> consensus cognitive battery for </w:t>
      </w:r>
      <w:r w:rsidR="00BE3B42">
        <w:t xml:space="preserve">the </w:t>
      </w:r>
      <w:r w:rsidRPr="00FE23CD">
        <w:t xml:space="preserve">spectrum of cognitive impairment </w:t>
      </w:r>
      <w:r w:rsidR="00C528DF">
        <w:t xml:space="preserve">in PD </w:t>
      </w:r>
      <w:r w:rsidRPr="00FE23CD">
        <w:t>t</w:t>
      </w:r>
      <w:r w:rsidR="00184AFC">
        <w:t>hat is evidence–based.</w:t>
      </w:r>
    </w:p>
    <w:p w:rsidR="009261CD" w:rsidRPr="00FE23CD" w:rsidRDefault="009261CD" w:rsidP="009261CD">
      <w:pPr>
        <w:pStyle w:val="ListParagraph"/>
        <w:numPr>
          <w:ilvl w:val="0"/>
          <w:numId w:val="2"/>
        </w:numPr>
      </w:pPr>
      <w:r w:rsidRPr="00FE23CD">
        <w:t xml:space="preserve">Multicenter, comparative studies of existing instruments: </w:t>
      </w:r>
    </w:p>
    <w:p w:rsidR="009261CD" w:rsidRPr="00FE23CD" w:rsidRDefault="009261CD" w:rsidP="009261CD">
      <w:pPr>
        <w:pStyle w:val="ListParagraph"/>
        <w:numPr>
          <w:ilvl w:val="1"/>
          <w:numId w:val="2"/>
        </w:numPr>
      </w:pPr>
      <w:r w:rsidRPr="00FE23CD">
        <w:t>Different scales (global vs. PD specific)</w:t>
      </w:r>
    </w:p>
    <w:p w:rsidR="009261CD" w:rsidRPr="00FE23CD" w:rsidRDefault="009261CD" w:rsidP="009261CD">
      <w:pPr>
        <w:pStyle w:val="ListParagraph"/>
        <w:numPr>
          <w:ilvl w:val="1"/>
          <w:numId w:val="2"/>
        </w:numPr>
      </w:pPr>
      <w:r w:rsidRPr="00FE23CD">
        <w:t>Different disease groups</w:t>
      </w:r>
    </w:p>
    <w:p w:rsidR="009261CD" w:rsidRPr="00FE23CD" w:rsidRDefault="009261CD" w:rsidP="009261CD">
      <w:pPr>
        <w:pStyle w:val="ListParagraph"/>
        <w:numPr>
          <w:ilvl w:val="1"/>
          <w:numId w:val="2"/>
        </w:numPr>
      </w:pPr>
      <w:r w:rsidRPr="00FE23CD">
        <w:t>Different race/ethnic groups</w:t>
      </w:r>
    </w:p>
    <w:p w:rsidR="009261CD" w:rsidRDefault="009261CD" w:rsidP="009261CD">
      <w:pPr>
        <w:pStyle w:val="ListParagraph"/>
        <w:numPr>
          <w:ilvl w:val="0"/>
          <w:numId w:val="2"/>
        </w:numPr>
      </w:pPr>
      <w:r>
        <w:t>Carrying out psychom</w:t>
      </w:r>
      <w:r w:rsidR="000B6165">
        <w:t>etric analyses of the ability</w:t>
      </w:r>
      <w:r w:rsidRPr="00FE23CD">
        <w:t xml:space="preserve"> to assess responsiveness to change</w:t>
      </w:r>
      <w:r w:rsidR="000B6165">
        <w:t xml:space="preserve"> so </w:t>
      </w:r>
      <w:r w:rsidR="00780B3B">
        <w:t>that scales</w:t>
      </w:r>
      <w:r>
        <w:t xml:space="preserve"> </w:t>
      </w:r>
      <w:r w:rsidR="000B6165">
        <w:t xml:space="preserve">can be used </w:t>
      </w:r>
      <w:r>
        <w:t>in intervention</w:t>
      </w:r>
      <w:r w:rsidRPr="00FE23CD">
        <w:t xml:space="preserve"> studies</w:t>
      </w:r>
      <w:r>
        <w:t xml:space="preserve"> to assess outcomes and in longitudinal descriptive studies.</w:t>
      </w:r>
    </w:p>
    <w:p w:rsidR="009261CD" w:rsidRPr="00FE23CD" w:rsidRDefault="009261CD" w:rsidP="009261CD">
      <w:pPr>
        <w:pStyle w:val="ListParagraph"/>
        <w:numPr>
          <w:ilvl w:val="0"/>
          <w:numId w:val="2"/>
        </w:numPr>
      </w:pPr>
      <w:r>
        <w:t>Carrying out psychometric analyses designed to develop “harmonizing rules” that allow assessments obtained with one measure to be translated into units of another</w:t>
      </w:r>
      <w:r w:rsidR="00585506">
        <w:t>.</w:t>
      </w:r>
    </w:p>
    <w:p w:rsidR="00326A8F" w:rsidRDefault="00326A8F" w:rsidP="00326A8F">
      <w:pPr>
        <w:pStyle w:val="ListParagraph"/>
        <w:numPr>
          <w:ilvl w:val="0"/>
          <w:numId w:val="2"/>
        </w:numPr>
      </w:pPr>
      <w:r>
        <w:t>Review of instruments specifically for PD-MCI</w:t>
      </w:r>
      <w:r w:rsidR="00585506">
        <w:t>.</w:t>
      </w:r>
    </w:p>
    <w:p w:rsidR="001F02B2" w:rsidRDefault="009261CD" w:rsidP="001F02B2">
      <w:pPr>
        <w:pStyle w:val="ListParagraph"/>
        <w:numPr>
          <w:ilvl w:val="0"/>
          <w:numId w:val="2"/>
        </w:numPr>
      </w:pPr>
      <w:r w:rsidRPr="00FE23CD">
        <w:t>Formation of a Task Force to explore development of new scales to meet the recommendations of the evidence-based review</w:t>
      </w:r>
      <w:r w:rsidR="00585506">
        <w:t>.</w:t>
      </w:r>
    </w:p>
    <w:p w:rsidR="00563D0A" w:rsidRDefault="00563D0A" w:rsidP="001F02B2">
      <w:pPr>
        <w:pStyle w:val="ListParagraph"/>
        <w:numPr>
          <w:ilvl w:val="0"/>
          <w:numId w:val="2"/>
        </w:numPr>
      </w:pPr>
      <w:r>
        <w:lastRenderedPageBreak/>
        <w:t>There are now several computerized cognitive batteries. We recommend a separate panel to review these batteries to assess cognition in PD. As</w:t>
      </w:r>
      <w:r w:rsidR="001E25CB">
        <w:t xml:space="preserve"> an</w:t>
      </w:r>
      <w:r>
        <w:t xml:space="preserve"> </w:t>
      </w:r>
      <w:r w:rsidR="001E25CB">
        <w:t>e</w:t>
      </w:r>
      <w:r w:rsidR="00A753F5">
        <w:t xml:space="preserve">xample </w:t>
      </w:r>
      <w:r w:rsidR="001E25CB">
        <w:t>of r</w:t>
      </w:r>
      <w:r w:rsidR="00A753F5">
        <w:t>ev</w:t>
      </w:r>
      <w:r w:rsidR="003A0554">
        <w:t>i</w:t>
      </w:r>
      <w:r w:rsidR="00A753F5">
        <w:t xml:space="preserve">ews for Computerized Cognitive Batteries, </w:t>
      </w:r>
      <w:r>
        <w:t>we have in</w:t>
      </w:r>
      <w:r w:rsidR="002361F4">
        <w:t xml:space="preserve">cluded </w:t>
      </w:r>
      <w:r>
        <w:t>the CANTAB</w:t>
      </w:r>
      <w:r w:rsidR="002361F4">
        <w:t xml:space="preserve"> and </w:t>
      </w:r>
      <w:r w:rsidR="003C004E">
        <w:t>Cognitive Drug Research</w:t>
      </w:r>
      <w:r w:rsidR="006C23F7">
        <w:t xml:space="preserve"> (CDR)</w:t>
      </w:r>
      <w:r w:rsidR="002F0802">
        <w:t xml:space="preserve"> </w:t>
      </w:r>
      <w:r w:rsidR="00D7133F">
        <w:t xml:space="preserve">both </w:t>
      </w:r>
      <w:r w:rsidR="003E7166">
        <w:t xml:space="preserve">of which have been </w:t>
      </w:r>
      <w:r w:rsidR="002361F4">
        <w:t>used</w:t>
      </w:r>
      <w:r>
        <w:t xml:space="preserve"> </w:t>
      </w:r>
      <w:r w:rsidR="00176A5E">
        <w:t xml:space="preserve">in </w:t>
      </w:r>
      <w:r>
        <w:t xml:space="preserve">PD. </w:t>
      </w:r>
    </w:p>
    <w:p w:rsidR="00A5532B" w:rsidRDefault="00A5532B" w:rsidP="001F02B2">
      <w:pPr>
        <w:pStyle w:val="ListParagraph"/>
        <w:ind w:left="0"/>
        <w:rPr>
          <w:sz w:val="20"/>
          <w:szCs w:val="20"/>
        </w:rPr>
      </w:pPr>
    </w:p>
    <w:p w:rsidR="00A5532B" w:rsidRPr="00971368" w:rsidRDefault="00A5532B" w:rsidP="001F02B2">
      <w:pPr>
        <w:pStyle w:val="ListParagraph"/>
        <w:ind w:left="0"/>
        <w:rPr>
          <w:b/>
          <w:bCs/>
        </w:rPr>
      </w:pPr>
      <w:r w:rsidRPr="00971368">
        <w:rPr>
          <w:b/>
          <w:bCs/>
        </w:rPr>
        <w:t>References:</w:t>
      </w:r>
    </w:p>
    <w:p w:rsidR="00A63E4F" w:rsidRPr="00971368" w:rsidRDefault="006B1A13" w:rsidP="00A63E4F">
      <w:pPr>
        <w:pStyle w:val="ListParagraph"/>
      </w:pPr>
      <w:r w:rsidRPr="00971368">
        <w:t>Emre M, Ford PJ, Bilgiç B, Uç EY. Cognitive impairment and dementia in Parkinson's disease: practical issues and management. Mov Disord. 2014;29(5):663-</w:t>
      </w:r>
      <w:r w:rsidR="00AA52CC" w:rsidRPr="00971368">
        <w:t>6</w:t>
      </w:r>
      <w:r w:rsidRPr="00971368">
        <w:t xml:space="preserve">72. </w:t>
      </w:r>
    </w:p>
    <w:p w:rsidR="00AA52CC" w:rsidRPr="00971368" w:rsidRDefault="00AA52CC" w:rsidP="00A63E4F">
      <w:pPr>
        <w:pStyle w:val="ListParagraph"/>
      </w:pPr>
    </w:p>
    <w:p w:rsidR="00A63E4F" w:rsidRPr="00971368" w:rsidRDefault="00834B0C" w:rsidP="00A63E4F">
      <w:pPr>
        <w:pStyle w:val="ListParagraph"/>
        <w:sectPr w:rsidR="00A63E4F" w:rsidRPr="00971368" w:rsidSect="008816FE">
          <w:footerReference w:type="default" r:id="rId10"/>
          <w:pgSz w:w="12240" w:h="15840"/>
          <w:pgMar w:top="1170" w:right="1440" w:bottom="1260" w:left="1440" w:header="720" w:footer="270" w:gutter="0"/>
          <w:cols w:space="720"/>
          <w:docGrid w:linePitch="360"/>
        </w:sectPr>
      </w:pPr>
      <w:r w:rsidRPr="00971368">
        <w:t xml:space="preserve">Litvan I, Aarsland D, Adler CH, Goldman JG, Kulisevsky J, Mollenhauer B, Rodriguez-Oroz MC, Tröster AI, Weintraub D. MDS Task Force on mild cognitive impairment in Parkinson's disease: critical review of PD-MCI. Mov Disord. 2011;26(10):1814-1824. </w:t>
      </w:r>
    </w:p>
    <w:p w:rsidR="008816FE" w:rsidRPr="00971368" w:rsidRDefault="008816FE" w:rsidP="008816FE">
      <w:pPr>
        <w:pStyle w:val="Caption"/>
        <w:keepNext/>
        <w:jc w:val="center"/>
        <w:rPr>
          <w:rFonts w:asciiTheme="minorHAnsi" w:hAnsiTheme="minorHAnsi" w:cstheme="minorHAnsi"/>
          <w:sz w:val="24"/>
          <w:szCs w:val="24"/>
        </w:rPr>
      </w:pPr>
      <w:bookmarkStart w:id="1" w:name="_Ref329080023"/>
      <w:r w:rsidRPr="00971368">
        <w:rPr>
          <w:rFonts w:asciiTheme="minorHAnsi" w:hAnsiTheme="minorHAnsi" w:cstheme="minorHAnsi"/>
          <w:sz w:val="24"/>
          <w:szCs w:val="24"/>
        </w:rPr>
        <w:lastRenderedPageBreak/>
        <w:t xml:space="preserve">Table </w:t>
      </w:r>
      <w:r w:rsidR="006A441A" w:rsidRPr="00971368">
        <w:rPr>
          <w:rFonts w:asciiTheme="minorHAnsi" w:hAnsiTheme="minorHAnsi" w:cstheme="minorHAnsi"/>
          <w:sz w:val="24"/>
          <w:szCs w:val="24"/>
        </w:rPr>
        <w:fldChar w:fldCharType="begin"/>
      </w:r>
      <w:r w:rsidRPr="00971368">
        <w:rPr>
          <w:rFonts w:asciiTheme="minorHAnsi" w:hAnsiTheme="minorHAnsi" w:cstheme="minorHAnsi"/>
          <w:sz w:val="24"/>
          <w:szCs w:val="24"/>
        </w:rPr>
        <w:instrText xml:space="preserve"> SEQ Table \* ARABIC </w:instrText>
      </w:r>
      <w:r w:rsidR="006A441A" w:rsidRPr="00971368">
        <w:rPr>
          <w:rFonts w:asciiTheme="minorHAnsi" w:hAnsiTheme="minorHAnsi" w:cstheme="minorHAnsi"/>
          <w:sz w:val="24"/>
          <w:szCs w:val="24"/>
        </w:rPr>
        <w:fldChar w:fldCharType="separate"/>
      </w:r>
      <w:r w:rsidRPr="00971368">
        <w:rPr>
          <w:rFonts w:asciiTheme="minorHAnsi" w:hAnsiTheme="minorHAnsi" w:cstheme="minorHAnsi"/>
          <w:noProof/>
          <w:sz w:val="24"/>
          <w:szCs w:val="24"/>
        </w:rPr>
        <w:t>1</w:t>
      </w:r>
      <w:r w:rsidR="006A441A" w:rsidRPr="00971368">
        <w:rPr>
          <w:rFonts w:asciiTheme="minorHAnsi" w:hAnsiTheme="minorHAnsi" w:cstheme="minorHAnsi"/>
          <w:sz w:val="24"/>
          <w:szCs w:val="24"/>
        </w:rPr>
        <w:fldChar w:fldCharType="end"/>
      </w:r>
      <w:r w:rsidRPr="00971368">
        <w:rPr>
          <w:rFonts w:asciiTheme="minorHAnsi" w:hAnsiTheme="minorHAnsi" w:cstheme="minorHAnsi"/>
          <w:sz w:val="24"/>
          <w:szCs w:val="24"/>
        </w:rPr>
        <w:t>: NINDS CDE Workgroup – Cognitive</w:t>
      </w:r>
      <w:bookmarkEnd w:id="1"/>
    </w:p>
    <w:p w:rsidR="008816FE" w:rsidRPr="00971368" w:rsidRDefault="008816FE" w:rsidP="008816FE">
      <w:pPr>
        <w:spacing w:after="0"/>
        <w:jc w:val="center"/>
        <w:rPr>
          <w:rFonts w:asciiTheme="minorHAnsi" w:hAnsiTheme="minorHAnsi" w:cstheme="minorHAnsi"/>
          <w:sz w:val="24"/>
          <w:szCs w:val="24"/>
          <w:u w:val="single"/>
        </w:rPr>
      </w:pPr>
      <w:r w:rsidRPr="00971368">
        <w:rPr>
          <w:rFonts w:asciiTheme="minorHAnsi" w:hAnsiTheme="minorHAnsi" w:cstheme="minorHAnsi"/>
          <w:sz w:val="24"/>
          <w:szCs w:val="24"/>
          <w:u w:val="single"/>
        </w:rPr>
        <w:t>Recommended CDE’s</w:t>
      </w:r>
    </w:p>
    <w:p w:rsidR="008816FE" w:rsidRPr="00971368" w:rsidRDefault="008816FE" w:rsidP="008816FE">
      <w:pPr>
        <w:spacing w:after="0"/>
        <w:jc w:val="center"/>
        <w:rPr>
          <w:rFonts w:asciiTheme="minorHAnsi" w:hAnsiTheme="minorHAnsi" w:cstheme="minorHAnsi"/>
          <w:b/>
          <w:sz w:val="24"/>
          <w:szCs w:val="24"/>
        </w:rPr>
      </w:pPr>
    </w:p>
    <w:tbl>
      <w:tblPr>
        <w:tblW w:w="3371" w:type="pct"/>
        <w:tblInd w:w="2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4"/>
        <w:gridCol w:w="1741"/>
        <w:gridCol w:w="968"/>
        <w:gridCol w:w="1235"/>
        <w:gridCol w:w="1236"/>
        <w:gridCol w:w="1307"/>
      </w:tblGrid>
      <w:tr w:rsidR="008816FE" w:rsidRPr="00971368" w:rsidTr="00C1212C">
        <w:trPr>
          <w:trHeight w:val="53"/>
        </w:trPr>
        <w:tc>
          <w:tcPr>
            <w:tcW w:w="1288" w:type="pct"/>
            <w:vMerge w:val="restart"/>
            <w:tcBorders>
              <w:bottom w:val="double" w:sz="4" w:space="0" w:color="auto"/>
            </w:tcBorders>
            <w:shd w:val="pct20" w:color="auto" w:fill="auto"/>
          </w:tcPr>
          <w:p w:rsidR="008816FE" w:rsidRPr="00971368" w:rsidRDefault="008816FE" w:rsidP="00C1212C">
            <w:pPr>
              <w:spacing w:after="0" w:line="240" w:lineRule="auto"/>
              <w:rPr>
                <w:rFonts w:asciiTheme="minorHAnsi" w:hAnsiTheme="minorHAnsi" w:cstheme="minorHAnsi"/>
                <w:b/>
                <w:sz w:val="28"/>
                <w:szCs w:val="28"/>
              </w:rPr>
            </w:pPr>
          </w:p>
          <w:p w:rsidR="008816FE" w:rsidRPr="00971368" w:rsidRDefault="008816FE" w:rsidP="00C1212C">
            <w:pPr>
              <w:spacing w:after="0" w:line="240" w:lineRule="auto"/>
              <w:rPr>
                <w:rFonts w:asciiTheme="minorHAnsi" w:hAnsiTheme="minorHAnsi" w:cstheme="minorHAnsi"/>
                <w:b/>
                <w:sz w:val="28"/>
                <w:szCs w:val="28"/>
                <w:vertAlign w:val="superscript"/>
              </w:rPr>
            </w:pPr>
            <w:r w:rsidRPr="00971368">
              <w:rPr>
                <w:rFonts w:asciiTheme="minorHAnsi" w:hAnsiTheme="minorHAnsi" w:cstheme="minorHAnsi"/>
                <w:b/>
                <w:sz w:val="28"/>
                <w:szCs w:val="28"/>
                <w:vertAlign w:val="superscript"/>
              </w:rPr>
              <w:t xml:space="preserve">Instrument Name </w:t>
            </w:r>
          </w:p>
          <w:p w:rsidR="008816FE" w:rsidRPr="00971368" w:rsidRDefault="008816FE" w:rsidP="00C1212C">
            <w:pPr>
              <w:spacing w:after="0" w:line="240" w:lineRule="auto"/>
              <w:rPr>
                <w:rFonts w:asciiTheme="minorHAnsi" w:hAnsiTheme="minorHAnsi" w:cstheme="minorHAnsi"/>
                <w:b/>
                <w:sz w:val="18"/>
                <w:szCs w:val="18"/>
              </w:rPr>
            </w:pPr>
          </w:p>
        </w:tc>
        <w:tc>
          <w:tcPr>
            <w:tcW w:w="2977" w:type="pct"/>
            <w:gridSpan w:val="4"/>
            <w:tcBorders>
              <w:bottom w:val="single" w:sz="4" w:space="0" w:color="000000"/>
            </w:tcBorders>
            <w:shd w:val="pct20" w:color="auto" w:fill="auto"/>
          </w:tcPr>
          <w:p w:rsidR="008816FE" w:rsidRPr="00971368" w:rsidRDefault="008816FE" w:rsidP="00C1212C">
            <w:pPr>
              <w:spacing w:after="0" w:line="240" w:lineRule="auto"/>
              <w:jc w:val="center"/>
              <w:rPr>
                <w:rFonts w:asciiTheme="minorHAnsi" w:hAnsiTheme="minorHAnsi" w:cstheme="minorHAnsi"/>
                <w:b/>
                <w:sz w:val="18"/>
                <w:szCs w:val="18"/>
              </w:rPr>
            </w:pPr>
            <w:r w:rsidRPr="00971368">
              <w:rPr>
                <w:rFonts w:asciiTheme="minorHAnsi" w:hAnsiTheme="minorHAnsi" w:cstheme="minorHAnsi"/>
                <w:b/>
                <w:sz w:val="18"/>
                <w:szCs w:val="18"/>
              </w:rPr>
              <w:t>Rating Scale Usage</w:t>
            </w:r>
          </w:p>
        </w:tc>
        <w:tc>
          <w:tcPr>
            <w:tcW w:w="735" w:type="pct"/>
            <w:tcBorders>
              <w:bottom w:val="single" w:sz="4" w:space="0" w:color="000000"/>
            </w:tcBorders>
            <w:shd w:val="pct20" w:color="auto" w:fill="auto"/>
          </w:tcPr>
          <w:p w:rsidR="008816FE" w:rsidRPr="00971368" w:rsidRDefault="008816FE" w:rsidP="00C1212C">
            <w:pPr>
              <w:spacing w:after="0" w:line="240" w:lineRule="auto"/>
              <w:jc w:val="center"/>
              <w:rPr>
                <w:rFonts w:asciiTheme="minorHAnsi" w:hAnsiTheme="minorHAnsi" w:cstheme="minorHAnsi"/>
                <w:b/>
                <w:sz w:val="18"/>
                <w:szCs w:val="18"/>
              </w:rPr>
            </w:pPr>
          </w:p>
        </w:tc>
      </w:tr>
      <w:tr w:rsidR="008816FE" w:rsidRPr="00971368" w:rsidTr="00C1212C">
        <w:tc>
          <w:tcPr>
            <w:tcW w:w="1288" w:type="pct"/>
            <w:vMerge/>
            <w:tcBorders>
              <w:bottom w:val="double" w:sz="4" w:space="0" w:color="auto"/>
            </w:tcBorders>
            <w:shd w:val="pct20" w:color="auto" w:fill="auto"/>
          </w:tcPr>
          <w:p w:rsidR="008816FE" w:rsidRPr="00971368" w:rsidRDefault="008816FE" w:rsidP="00C1212C">
            <w:pPr>
              <w:spacing w:after="0" w:line="240" w:lineRule="auto"/>
              <w:rPr>
                <w:rFonts w:asciiTheme="minorHAnsi" w:hAnsiTheme="minorHAnsi" w:cstheme="minorHAnsi"/>
                <w:b/>
                <w:sz w:val="18"/>
                <w:szCs w:val="18"/>
              </w:rPr>
            </w:pPr>
          </w:p>
        </w:tc>
        <w:tc>
          <w:tcPr>
            <w:tcW w:w="1000" w:type="pct"/>
            <w:tcBorders>
              <w:bottom w:val="double" w:sz="4" w:space="0" w:color="auto"/>
            </w:tcBorders>
            <w:shd w:val="pct20" w:color="auto" w:fill="auto"/>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Screening Instrument</w:t>
            </w:r>
            <w:r w:rsidRPr="00971368">
              <w:rPr>
                <w:rFonts w:asciiTheme="minorHAnsi" w:hAnsiTheme="minorHAnsi" w:cstheme="minorHAnsi"/>
                <w:sz w:val="18"/>
                <w:szCs w:val="18"/>
                <w:vertAlign w:val="superscript"/>
              </w:rPr>
              <w:t>a</w:t>
            </w:r>
          </w:p>
          <w:p w:rsidR="008816FE" w:rsidRPr="00971368" w:rsidRDefault="008816FE" w:rsidP="00C1212C">
            <w:pPr>
              <w:spacing w:after="0" w:line="240" w:lineRule="auto"/>
              <w:jc w:val="center"/>
              <w:rPr>
                <w:rFonts w:asciiTheme="minorHAnsi" w:hAnsiTheme="minorHAnsi" w:cstheme="minorHAnsi"/>
                <w:sz w:val="18"/>
                <w:szCs w:val="18"/>
              </w:rPr>
            </w:pPr>
          </w:p>
        </w:tc>
        <w:tc>
          <w:tcPr>
            <w:tcW w:w="557" w:type="pct"/>
            <w:tcBorders>
              <w:bottom w:val="double" w:sz="4" w:space="0" w:color="auto"/>
            </w:tcBorders>
            <w:shd w:val="pct20" w:color="auto" w:fill="auto"/>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Severity</w:t>
            </w:r>
            <w:r w:rsidRPr="00971368">
              <w:rPr>
                <w:rFonts w:asciiTheme="minorHAnsi" w:hAnsiTheme="minorHAnsi" w:cstheme="minorHAnsi"/>
                <w:sz w:val="20"/>
                <w:szCs w:val="20"/>
                <w:vertAlign w:val="superscript"/>
              </w:rPr>
              <w:t>b</w:t>
            </w:r>
          </w:p>
          <w:p w:rsidR="008816FE" w:rsidRPr="00971368" w:rsidRDefault="008816FE" w:rsidP="00C1212C">
            <w:pPr>
              <w:spacing w:after="0" w:line="240" w:lineRule="auto"/>
              <w:jc w:val="center"/>
              <w:rPr>
                <w:rFonts w:asciiTheme="minorHAnsi" w:hAnsiTheme="minorHAnsi" w:cstheme="minorHAnsi"/>
                <w:sz w:val="18"/>
                <w:szCs w:val="18"/>
              </w:rPr>
            </w:pPr>
          </w:p>
        </w:tc>
        <w:tc>
          <w:tcPr>
            <w:tcW w:w="710" w:type="pct"/>
            <w:tcBorders>
              <w:bottom w:val="double" w:sz="4" w:space="0" w:color="auto"/>
            </w:tcBorders>
            <w:shd w:val="pct20" w:color="auto" w:fill="auto"/>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Longitudinal</w:t>
            </w:r>
            <w:r w:rsidRPr="00971368">
              <w:rPr>
                <w:rFonts w:asciiTheme="minorHAnsi" w:hAnsiTheme="minorHAnsi" w:cstheme="minorHAnsi"/>
                <w:sz w:val="20"/>
                <w:szCs w:val="20"/>
                <w:vertAlign w:val="superscript"/>
              </w:rPr>
              <w:t>c</w:t>
            </w:r>
          </w:p>
        </w:tc>
        <w:tc>
          <w:tcPr>
            <w:tcW w:w="710" w:type="pct"/>
            <w:tcBorders>
              <w:bottom w:val="double" w:sz="4" w:space="0" w:color="auto"/>
            </w:tcBorders>
            <w:shd w:val="pct20" w:color="auto" w:fill="auto"/>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Diagnostic Instrument</w:t>
            </w:r>
            <w:r w:rsidRPr="00971368">
              <w:rPr>
                <w:rFonts w:asciiTheme="minorHAnsi" w:hAnsiTheme="minorHAnsi" w:cstheme="minorHAnsi"/>
                <w:sz w:val="20"/>
                <w:szCs w:val="20"/>
                <w:vertAlign w:val="superscript"/>
              </w:rPr>
              <w:t>d</w:t>
            </w:r>
          </w:p>
          <w:p w:rsidR="008816FE" w:rsidRPr="00971368" w:rsidRDefault="008816FE" w:rsidP="00C1212C">
            <w:pPr>
              <w:spacing w:after="0" w:line="240" w:lineRule="auto"/>
              <w:jc w:val="center"/>
              <w:rPr>
                <w:rFonts w:asciiTheme="minorHAnsi" w:hAnsiTheme="minorHAnsi" w:cstheme="minorHAnsi"/>
                <w:sz w:val="18"/>
                <w:szCs w:val="18"/>
              </w:rPr>
            </w:pPr>
          </w:p>
        </w:tc>
        <w:tc>
          <w:tcPr>
            <w:tcW w:w="735" w:type="pct"/>
            <w:tcBorders>
              <w:bottom w:val="double" w:sz="4" w:space="0" w:color="auto"/>
            </w:tcBorders>
            <w:shd w:val="pct20" w:color="auto" w:fill="auto"/>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Administration Time</w:t>
            </w:r>
          </w:p>
        </w:tc>
      </w:tr>
      <w:tr w:rsidR="008816FE" w:rsidRPr="00971368" w:rsidTr="00C1212C">
        <w:trPr>
          <w:trHeight w:val="314"/>
        </w:trPr>
        <w:tc>
          <w:tcPr>
            <w:tcW w:w="1288" w:type="pct"/>
            <w:vAlign w:val="center"/>
          </w:tcPr>
          <w:p w:rsidR="008816FE" w:rsidRPr="00971368" w:rsidRDefault="008816FE" w:rsidP="00C1212C">
            <w:pPr>
              <w:spacing w:after="0" w:line="240" w:lineRule="auto"/>
              <w:jc w:val="center"/>
              <w:rPr>
                <w:rFonts w:asciiTheme="minorHAnsi" w:hAnsiTheme="minorHAnsi" w:cstheme="minorHAnsi"/>
                <w:sz w:val="18"/>
                <w:szCs w:val="18"/>
                <w:highlight w:val="yellow"/>
              </w:rPr>
            </w:pPr>
            <w:r w:rsidRPr="00971368">
              <w:rPr>
                <w:rFonts w:asciiTheme="minorHAnsi" w:hAnsiTheme="minorHAnsi" w:cstheme="minorHAnsi"/>
                <w:sz w:val="18"/>
                <w:szCs w:val="18"/>
              </w:rPr>
              <w:t>ADAS COG</w:t>
            </w:r>
            <w:r w:rsidRPr="00971368">
              <w:rPr>
                <w:rFonts w:asciiTheme="minorHAnsi" w:hAnsiTheme="minorHAnsi" w:cstheme="minorHAnsi"/>
                <w:sz w:val="18"/>
                <w:szCs w:val="18"/>
                <w:vertAlign w:val="superscript"/>
              </w:rPr>
              <w:t>◊</w:t>
            </w:r>
          </w:p>
        </w:tc>
        <w:tc>
          <w:tcPr>
            <w:tcW w:w="1000"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2</w:t>
            </w:r>
          </w:p>
        </w:tc>
        <w:tc>
          <w:tcPr>
            <w:tcW w:w="557"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2</w:t>
            </w:r>
          </w:p>
        </w:tc>
        <w:tc>
          <w:tcPr>
            <w:tcW w:w="710" w:type="pct"/>
            <w:vAlign w:val="center"/>
          </w:tcPr>
          <w:p w:rsidR="008816FE" w:rsidRPr="00971368" w:rsidRDefault="008816FE" w:rsidP="00C1212C">
            <w:pPr>
              <w:spacing w:after="0" w:line="360" w:lineRule="auto"/>
              <w:jc w:val="center"/>
              <w:rPr>
                <w:rFonts w:asciiTheme="minorHAnsi" w:hAnsiTheme="minorHAnsi" w:cstheme="minorHAnsi"/>
                <w:sz w:val="18"/>
                <w:szCs w:val="18"/>
              </w:rPr>
            </w:pPr>
            <w:r w:rsidRPr="00971368">
              <w:rPr>
                <w:rFonts w:asciiTheme="minorHAnsi" w:hAnsiTheme="minorHAnsi" w:cstheme="minorHAnsi"/>
                <w:sz w:val="18"/>
                <w:szCs w:val="18"/>
              </w:rPr>
              <w:t>N/A</w:t>
            </w:r>
          </w:p>
        </w:tc>
        <w:tc>
          <w:tcPr>
            <w:tcW w:w="710"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2</w:t>
            </w:r>
          </w:p>
        </w:tc>
        <w:tc>
          <w:tcPr>
            <w:tcW w:w="735"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30 min</w:t>
            </w:r>
          </w:p>
        </w:tc>
      </w:tr>
      <w:tr w:rsidR="008816FE" w:rsidRPr="00971368" w:rsidTr="00C1212C">
        <w:trPr>
          <w:trHeight w:val="314"/>
        </w:trPr>
        <w:tc>
          <w:tcPr>
            <w:tcW w:w="1288" w:type="pct"/>
          </w:tcPr>
          <w:p w:rsidR="008816FE" w:rsidRPr="00971368" w:rsidRDefault="008816FE" w:rsidP="00C1212C">
            <w:pPr>
              <w:spacing w:after="0" w:line="240" w:lineRule="auto"/>
              <w:jc w:val="center"/>
              <w:rPr>
                <w:rFonts w:asciiTheme="minorHAnsi" w:hAnsiTheme="minorHAnsi" w:cstheme="minorHAnsi"/>
                <w:sz w:val="18"/>
                <w:szCs w:val="18"/>
              </w:rPr>
            </w:pPr>
          </w:p>
          <w:p w:rsidR="008816FE" w:rsidRPr="00971368" w:rsidRDefault="008816FE" w:rsidP="00B72C45">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Addenbrooke’s Cognitive Examination-</w:t>
            </w:r>
            <w:r w:rsidR="00B72C45" w:rsidRPr="00971368">
              <w:rPr>
                <w:rFonts w:asciiTheme="minorHAnsi" w:hAnsiTheme="minorHAnsi" w:cstheme="minorHAnsi"/>
                <w:sz w:val="18"/>
                <w:szCs w:val="18"/>
              </w:rPr>
              <w:t>III</w:t>
            </w:r>
            <w:r w:rsidRPr="00971368">
              <w:rPr>
                <w:rFonts w:asciiTheme="minorHAnsi" w:hAnsiTheme="minorHAnsi" w:cstheme="minorHAnsi"/>
                <w:sz w:val="18"/>
                <w:szCs w:val="18"/>
              </w:rPr>
              <w:t xml:space="preserve"> </w:t>
            </w:r>
            <w:r w:rsidR="001C0E15" w:rsidRPr="00971368">
              <w:rPr>
                <w:rFonts w:asciiTheme="minorHAnsi" w:hAnsiTheme="minorHAnsi" w:cstheme="minorHAnsi"/>
                <w:sz w:val="18"/>
                <w:szCs w:val="18"/>
              </w:rPr>
              <w:t>ACE-III</w:t>
            </w:r>
          </w:p>
        </w:tc>
        <w:tc>
          <w:tcPr>
            <w:tcW w:w="1000"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1.5</w:t>
            </w:r>
          </w:p>
        </w:tc>
        <w:tc>
          <w:tcPr>
            <w:tcW w:w="557"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2</w:t>
            </w:r>
          </w:p>
        </w:tc>
        <w:tc>
          <w:tcPr>
            <w:tcW w:w="710"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3</w:t>
            </w:r>
          </w:p>
        </w:tc>
        <w:tc>
          <w:tcPr>
            <w:tcW w:w="710"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2</w:t>
            </w:r>
          </w:p>
        </w:tc>
        <w:tc>
          <w:tcPr>
            <w:tcW w:w="735"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15-20 min</w:t>
            </w:r>
          </w:p>
        </w:tc>
      </w:tr>
      <w:tr w:rsidR="008816FE" w:rsidRPr="00971368" w:rsidTr="00C1212C">
        <w:trPr>
          <w:trHeight w:val="314"/>
        </w:trPr>
        <w:tc>
          <w:tcPr>
            <w:tcW w:w="1288" w:type="pct"/>
          </w:tcPr>
          <w:p w:rsidR="008816FE" w:rsidRPr="00971368" w:rsidRDefault="008816FE" w:rsidP="00C1212C">
            <w:pPr>
              <w:spacing w:after="0" w:line="240" w:lineRule="auto"/>
              <w:jc w:val="center"/>
              <w:rPr>
                <w:rFonts w:asciiTheme="minorHAnsi" w:hAnsiTheme="minorHAnsi" w:cstheme="minorHAnsi"/>
                <w:sz w:val="18"/>
                <w:szCs w:val="18"/>
              </w:rPr>
            </w:pPr>
          </w:p>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CAMCOG-R†</w:t>
            </w:r>
          </w:p>
        </w:tc>
        <w:tc>
          <w:tcPr>
            <w:tcW w:w="1000"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2</w:t>
            </w:r>
          </w:p>
        </w:tc>
        <w:tc>
          <w:tcPr>
            <w:tcW w:w="557"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2</w:t>
            </w:r>
          </w:p>
        </w:tc>
        <w:tc>
          <w:tcPr>
            <w:tcW w:w="710" w:type="pct"/>
            <w:vAlign w:val="center"/>
          </w:tcPr>
          <w:p w:rsidR="008816FE" w:rsidRPr="00971368" w:rsidRDefault="008816FE" w:rsidP="00C1212C">
            <w:pPr>
              <w:spacing w:after="0" w:line="360" w:lineRule="auto"/>
              <w:jc w:val="center"/>
              <w:rPr>
                <w:rFonts w:asciiTheme="minorHAnsi" w:hAnsiTheme="minorHAnsi" w:cstheme="minorHAnsi"/>
                <w:sz w:val="18"/>
                <w:szCs w:val="18"/>
              </w:rPr>
            </w:pPr>
            <w:r w:rsidRPr="00971368">
              <w:rPr>
                <w:rFonts w:asciiTheme="minorHAnsi" w:hAnsiTheme="minorHAnsi" w:cstheme="minorHAnsi"/>
                <w:sz w:val="18"/>
                <w:szCs w:val="18"/>
              </w:rPr>
              <w:t>2</w:t>
            </w:r>
          </w:p>
        </w:tc>
        <w:tc>
          <w:tcPr>
            <w:tcW w:w="710"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2</w:t>
            </w:r>
          </w:p>
        </w:tc>
        <w:tc>
          <w:tcPr>
            <w:tcW w:w="735"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25-30 min</w:t>
            </w:r>
          </w:p>
        </w:tc>
      </w:tr>
      <w:tr w:rsidR="008816FE" w:rsidRPr="00971368" w:rsidTr="00C1212C">
        <w:trPr>
          <w:trHeight w:val="314"/>
        </w:trPr>
        <w:tc>
          <w:tcPr>
            <w:tcW w:w="1288" w:type="pct"/>
          </w:tcPr>
          <w:p w:rsidR="008816FE" w:rsidRPr="00971368" w:rsidRDefault="008816FE" w:rsidP="00C1212C">
            <w:pPr>
              <w:spacing w:after="0" w:line="240" w:lineRule="auto"/>
              <w:jc w:val="center"/>
              <w:rPr>
                <w:rFonts w:asciiTheme="minorHAnsi" w:hAnsiTheme="minorHAnsi" w:cstheme="minorHAnsi"/>
                <w:sz w:val="18"/>
                <w:szCs w:val="18"/>
              </w:rPr>
            </w:pPr>
          </w:p>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Clinician Global Impression of Change (CGIC)</w:t>
            </w:r>
            <w:r w:rsidRPr="00971368">
              <w:rPr>
                <w:rFonts w:asciiTheme="minorHAnsi" w:hAnsiTheme="minorHAnsi" w:cstheme="minorHAnsi"/>
                <w:sz w:val="18"/>
                <w:szCs w:val="18"/>
                <w:vertAlign w:val="superscript"/>
              </w:rPr>
              <w:t>◊</w:t>
            </w:r>
          </w:p>
        </w:tc>
        <w:tc>
          <w:tcPr>
            <w:tcW w:w="1000"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N/A</w:t>
            </w:r>
          </w:p>
        </w:tc>
        <w:tc>
          <w:tcPr>
            <w:tcW w:w="557"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N/A</w:t>
            </w:r>
          </w:p>
        </w:tc>
        <w:tc>
          <w:tcPr>
            <w:tcW w:w="710" w:type="pct"/>
            <w:vAlign w:val="center"/>
          </w:tcPr>
          <w:p w:rsidR="008816FE" w:rsidRPr="00971368" w:rsidRDefault="001C0E15"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1.5</w:t>
            </w:r>
          </w:p>
        </w:tc>
        <w:tc>
          <w:tcPr>
            <w:tcW w:w="710"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N/A</w:t>
            </w:r>
          </w:p>
        </w:tc>
        <w:tc>
          <w:tcPr>
            <w:tcW w:w="735"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40 min</w:t>
            </w:r>
          </w:p>
        </w:tc>
      </w:tr>
      <w:tr w:rsidR="008816FE" w:rsidRPr="00971368" w:rsidTr="00C1212C">
        <w:trPr>
          <w:trHeight w:val="314"/>
        </w:trPr>
        <w:tc>
          <w:tcPr>
            <w:tcW w:w="1288" w:type="pct"/>
          </w:tcPr>
          <w:p w:rsidR="008816FE" w:rsidRPr="00971368" w:rsidRDefault="008816FE" w:rsidP="00C1212C">
            <w:pPr>
              <w:spacing w:after="0" w:line="240" w:lineRule="auto"/>
              <w:rPr>
                <w:rFonts w:asciiTheme="minorHAnsi" w:hAnsiTheme="minorHAnsi" w:cstheme="minorHAnsi"/>
                <w:sz w:val="18"/>
                <w:szCs w:val="18"/>
              </w:rPr>
            </w:pPr>
          </w:p>
          <w:p w:rsidR="008816FE" w:rsidRPr="00971368" w:rsidRDefault="008816FE" w:rsidP="00C1212C">
            <w:pPr>
              <w:spacing w:after="0" w:line="240" w:lineRule="auto"/>
              <w:jc w:val="center"/>
              <w:rPr>
                <w:rFonts w:asciiTheme="minorHAnsi" w:hAnsiTheme="minorHAnsi" w:cstheme="minorHAnsi"/>
                <w:sz w:val="18"/>
                <w:szCs w:val="18"/>
                <w:vertAlign w:val="superscript"/>
              </w:rPr>
            </w:pPr>
            <w:r w:rsidRPr="00971368">
              <w:rPr>
                <w:rFonts w:asciiTheme="minorHAnsi" w:hAnsiTheme="minorHAnsi" w:cstheme="minorHAnsi"/>
                <w:sz w:val="18"/>
                <w:szCs w:val="18"/>
              </w:rPr>
              <w:t>Mattis DRS-2</w:t>
            </w:r>
            <w:r w:rsidRPr="00971368">
              <w:rPr>
                <w:rFonts w:asciiTheme="minorHAnsi" w:hAnsiTheme="minorHAnsi" w:cstheme="minorHAnsi"/>
                <w:sz w:val="20"/>
                <w:szCs w:val="20"/>
                <w:vertAlign w:val="superscript"/>
              </w:rPr>
              <w:t>□</w:t>
            </w:r>
          </w:p>
        </w:tc>
        <w:tc>
          <w:tcPr>
            <w:tcW w:w="1000"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1</w:t>
            </w:r>
          </w:p>
        </w:tc>
        <w:tc>
          <w:tcPr>
            <w:tcW w:w="557"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1</w:t>
            </w:r>
          </w:p>
        </w:tc>
        <w:tc>
          <w:tcPr>
            <w:tcW w:w="710"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1</w:t>
            </w:r>
          </w:p>
        </w:tc>
        <w:tc>
          <w:tcPr>
            <w:tcW w:w="710"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1</w:t>
            </w:r>
          </w:p>
        </w:tc>
        <w:tc>
          <w:tcPr>
            <w:tcW w:w="735"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30-50 min</w:t>
            </w:r>
          </w:p>
        </w:tc>
      </w:tr>
      <w:tr w:rsidR="008816FE" w:rsidRPr="00971368" w:rsidTr="00C1212C">
        <w:trPr>
          <w:trHeight w:val="494"/>
        </w:trPr>
        <w:tc>
          <w:tcPr>
            <w:tcW w:w="1288" w:type="pct"/>
          </w:tcPr>
          <w:p w:rsidR="008816FE" w:rsidRPr="00971368" w:rsidRDefault="008816FE" w:rsidP="00C1212C">
            <w:pPr>
              <w:spacing w:after="0" w:line="240" w:lineRule="auto"/>
              <w:rPr>
                <w:rFonts w:asciiTheme="minorHAnsi" w:hAnsiTheme="minorHAnsi" w:cstheme="minorHAnsi"/>
                <w:sz w:val="18"/>
                <w:szCs w:val="18"/>
              </w:rPr>
            </w:pPr>
          </w:p>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MMSE</w:t>
            </w:r>
            <w:r w:rsidRPr="00971368">
              <w:rPr>
                <w:rFonts w:asciiTheme="minorHAnsi" w:hAnsiTheme="minorHAnsi" w:cstheme="minorHAnsi"/>
                <w:sz w:val="20"/>
                <w:szCs w:val="20"/>
                <w:vertAlign w:val="superscript"/>
              </w:rPr>
              <w:t>□</w:t>
            </w:r>
          </w:p>
        </w:tc>
        <w:tc>
          <w:tcPr>
            <w:tcW w:w="1000"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3</w:t>
            </w:r>
          </w:p>
        </w:tc>
        <w:tc>
          <w:tcPr>
            <w:tcW w:w="557"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2.5</w:t>
            </w:r>
          </w:p>
        </w:tc>
        <w:tc>
          <w:tcPr>
            <w:tcW w:w="710" w:type="pct"/>
            <w:vAlign w:val="bottom"/>
          </w:tcPr>
          <w:p w:rsidR="008816FE" w:rsidRPr="00971368" w:rsidRDefault="008816FE" w:rsidP="00C1212C">
            <w:pPr>
              <w:spacing w:after="0" w:line="360" w:lineRule="auto"/>
              <w:jc w:val="center"/>
              <w:rPr>
                <w:rFonts w:asciiTheme="minorHAnsi" w:hAnsiTheme="minorHAnsi" w:cstheme="minorHAnsi"/>
                <w:sz w:val="18"/>
                <w:szCs w:val="18"/>
              </w:rPr>
            </w:pPr>
            <w:r w:rsidRPr="00971368">
              <w:rPr>
                <w:rFonts w:asciiTheme="minorHAnsi" w:hAnsiTheme="minorHAnsi" w:cstheme="minorHAnsi"/>
                <w:sz w:val="18"/>
                <w:szCs w:val="18"/>
              </w:rPr>
              <w:t>2</w:t>
            </w:r>
          </w:p>
        </w:tc>
        <w:tc>
          <w:tcPr>
            <w:tcW w:w="710"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3</w:t>
            </w:r>
          </w:p>
        </w:tc>
        <w:tc>
          <w:tcPr>
            <w:tcW w:w="735"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10-12 min</w:t>
            </w:r>
          </w:p>
        </w:tc>
      </w:tr>
      <w:tr w:rsidR="008816FE" w:rsidRPr="00971368" w:rsidTr="00C1212C">
        <w:trPr>
          <w:trHeight w:val="494"/>
        </w:trPr>
        <w:tc>
          <w:tcPr>
            <w:tcW w:w="1288" w:type="pct"/>
          </w:tcPr>
          <w:p w:rsidR="008816FE" w:rsidRPr="00971368" w:rsidRDefault="008816FE" w:rsidP="00C1212C">
            <w:pPr>
              <w:spacing w:after="0" w:line="240" w:lineRule="auto"/>
              <w:jc w:val="center"/>
              <w:rPr>
                <w:rFonts w:asciiTheme="minorHAnsi" w:hAnsiTheme="minorHAnsi" w:cstheme="minorHAnsi"/>
                <w:sz w:val="18"/>
                <w:szCs w:val="18"/>
              </w:rPr>
            </w:pPr>
          </w:p>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Montreal Cognitive Assessment (MoCA)</w:t>
            </w:r>
            <w:r w:rsidRPr="00971368">
              <w:rPr>
                <w:rFonts w:ascii="Arial" w:hAnsi="Arial" w:cs="Arial"/>
                <w:sz w:val="20"/>
                <w:szCs w:val="20"/>
                <w:vertAlign w:val="superscript"/>
              </w:rPr>
              <w:t>▲</w:t>
            </w:r>
          </w:p>
        </w:tc>
        <w:tc>
          <w:tcPr>
            <w:tcW w:w="1000"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1.5</w:t>
            </w:r>
          </w:p>
        </w:tc>
        <w:tc>
          <w:tcPr>
            <w:tcW w:w="557"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1.5</w:t>
            </w:r>
          </w:p>
        </w:tc>
        <w:tc>
          <w:tcPr>
            <w:tcW w:w="710" w:type="pct"/>
            <w:vAlign w:val="center"/>
          </w:tcPr>
          <w:p w:rsidR="008816FE" w:rsidRPr="00971368" w:rsidRDefault="001C0E15"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1</w:t>
            </w:r>
          </w:p>
        </w:tc>
        <w:tc>
          <w:tcPr>
            <w:tcW w:w="710" w:type="pct"/>
            <w:vAlign w:val="center"/>
          </w:tcPr>
          <w:p w:rsidR="008816FE" w:rsidRPr="00971368" w:rsidRDefault="008816FE" w:rsidP="00C1212C">
            <w:pPr>
              <w:spacing w:after="0" w:line="240" w:lineRule="auto"/>
              <w:jc w:val="center"/>
              <w:rPr>
                <w:rFonts w:asciiTheme="minorHAnsi" w:hAnsiTheme="minorHAnsi" w:cstheme="minorHAnsi"/>
                <w:sz w:val="20"/>
                <w:szCs w:val="20"/>
              </w:rPr>
            </w:pPr>
            <w:r w:rsidRPr="00971368">
              <w:rPr>
                <w:rFonts w:asciiTheme="minorHAnsi" w:hAnsiTheme="minorHAnsi" w:cstheme="minorHAnsi"/>
                <w:sz w:val="20"/>
                <w:szCs w:val="20"/>
              </w:rPr>
              <w:t>2</w:t>
            </w:r>
          </w:p>
        </w:tc>
        <w:tc>
          <w:tcPr>
            <w:tcW w:w="735" w:type="pct"/>
            <w:vAlign w:val="center"/>
          </w:tcPr>
          <w:p w:rsidR="008816FE" w:rsidRPr="00971368" w:rsidRDefault="008816FE" w:rsidP="00C1212C">
            <w:pPr>
              <w:spacing w:after="0" w:line="240" w:lineRule="auto"/>
              <w:jc w:val="center"/>
              <w:rPr>
                <w:rFonts w:asciiTheme="minorHAnsi" w:hAnsiTheme="minorHAnsi" w:cstheme="minorHAnsi"/>
                <w:sz w:val="20"/>
                <w:szCs w:val="20"/>
              </w:rPr>
            </w:pPr>
            <w:r w:rsidRPr="00971368">
              <w:rPr>
                <w:rFonts w:asciiTheme="minorHAnsi" w:hAnsiTheme="minorHAnsi" w:cstheme="minorHAnsi"/>
                <w:sz w:val="18"/>
                <w:szCs w:val="18"/>
              </w:rPr>
              <w:t>10-15 min</w:t>
            </w:r>
          </w:p>
        </w:tc>
      </w:tr>
      <w:tr w:rsidR="008816FE" w:rsidRPr="00971368" w:rsidTr="00C1212C">
        <w:trPr>
          <w:trHeight w:val="494"/>
        </w:trPr>
        <w:tc>
          <w:tcPr>
            <w:tcW w:w="1288" w:type="pct"/>
          </w:tcPr>
          <w:p w:rsidR="008816FE" w:rsidRPr="00971368" w:rsidRDefault="008816FE" w:rsidP="00C1212C">
            <w:pPr>
              <w:spacing w:after="0" w:line="240" w:lineRule="auto"/>
              <w:jc w:val="center"/>
              <w:rPr>
                <w:rFonts w:asciiTheme="minorHAnsi" w:hAnsiTheme="minorHAnsi" w:cstheme="minorHAnsi"/>
                <w:sz w:val="18"/>
                <w:szCs w:val="18"/>
              </w:rPr>
            </w:pPr>
          </w:p>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PANDA†</w:t>
            </w:r>
          </w:p>
        </w:tc>
        <w:tc>
          <w:tcPr>
            <w:tcW w:w="1000"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2</w:t>
            </w:r>
          </w:p>
        </w:tc>
        <w:tc>
          <w:tcPr>
            <w:tcW w:w="557"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2</w:t>
            </w:r>
          </w:p>
        </w:tc>
        <w:tc>
          <w:tcPr>
            <w:tcW w:w="710" w:type="pct"/>
            <w:vAlign w:val="center"/>
          </w:tcPr>
          <w:p w:rsidR="008816FE" w:rsidRPr="00971368" w:rsidRDefault="008816FE" w:rsidP="00C1212C">
            <w:pPr>
              <w:spacing w:after="0" w:line="360" w:lineRule="auto"/>
              <w:jc w:val="center"/>
              <w:rPr>
                <w:rFonts w:asciiTheme="minorHAnsi" w:hAnsiTheme="minorHAnsi" w:cstheme="minorHAnsi"/>
                <w:sz w:val="18"/>
                <w:szCs w:val="18"/>
              </w:rPr>
            </w:pPr>
            <w:r w:rsidRPr="00971368">
              <w:rPr>
                <w:rFonts w:asciiTheme="minorHAnsi" w:hAnsiTheme="minorHAnsi" w:cstheme="minorHAnsi"/>
                <w:sz w:val="18"/>
                <w:szCs w:val="18"/>
              </w:rPr>
              <w:t>N/A</w:t>
            </w:r>
          </w:p>
        </w:tc>
        <w:tc>
          <w:tcPr>
            <w:tcW w:w="710"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2.5</w:t>
            </w:r>
          </w:p>
        </w:tc>
        <w:tc>
          <w:tcPr>
            <w:tcW w:w="735"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8-20 min</w:t>
            </w:r>
          </w:p>
        </w:tc>
      </w:tr>
      <w:tr w:rsidR="008816FE" w:rsidRPr="00971368" w:rsidTr="00C1212C">
        <w:trPr>
          <w:trHeight w:val="512"/>
        </w:trPr>
        <w:tc>
          <w:tcPr>
            <w:tcW w:w="1288" w:type="pct"/>
          </w:tcPr>
          <w:p w:rsidR="008816FE" w:rsidRPr="00971368" w:rsidRDefault="008816FE" w:rsidP="00C1212C">
            <w:pPr>
              <w:spacing w:after="0" w:line="240" w:lineRule="auto"/>
              <w:jc w:val="center"/>
              <w:rPr>
                <w:rFonts w:asciiTheme="minorHAnsi" w:hAnsiTheme="minorHAnsi" w:cstheme="minorHAnsi"/>
                <w:sz w:val="18"/>
                <w:szCs w:val="18"/>
              </w:rPr>
            </w:pPr>
          </w:p>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PD-CRS†</w:t>
            </w:r>
          </w:p>
        </w:tc>
        <w:tc>
          <w:tcPr>
            <w:tcW w:w="1000"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2</w:t>
            </w:r>
          </w:p>
        </w:tc>
        <w:tc>
          <w:tcPr>
            <w:tcW w:w="557"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2</w:t>
            </w:r>
          </w:p>
        </w:tc>
        <w:tc>
          <w:tcPr>
            <w:tcW w:w="710" w:type="pct"/>
            <w:vAlign w:val="center"/>
          </w:tcPr>
          <w:p w:rsidR="008816FE" w:rsidRPr="00971368" w:rsidRDefault="008816FE" w:rsidP="00C1212C">
            <w:pPr>
              <w:spacing w:after="0" w:line="360" w:lineRule="auto"/>
              <w:jc w:val="center"/>
              <w:rPr>
                <w:rFonts w:asciiTheme="minorHAnsi" w:hAnsiTheme="minorHAnsi" w:cstheme="minorHAnsi"/>
                <w:sz w:val="18"/>
                <w:szCs w:val="18"/>
              </w:rPr>
            </w:pPr>
            <w:r w:rsidRPr="00971368">
              <w:rPr>
                <w:rFonts w:asciiTheme="minorHAnsi" w:hAnsiTheme="minorHAnsi" w:cstheme="minorHAnsi"/>
                <w:sz w:val="18"/>
                <w:szCs w:val="18"/>
              </w:rPr>
              <w:t>N/A</w:t>
            </w:r>
          </w:p>
        </w:tc>
        <w:tc>
          <w:tcPr>
            <w:tcW w:w="710"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2</w:t>
            </w:r>
          </w:p>
        </w:tc>
        <w:tc>
          <w:tcPr>
            <w:tcW w:w="735"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17-26 min</w:t>
            </w:r>
          </w:p>
        </w:tc>
      </w:tr>
      <w:tr w:rsidR="008816FE" w:rsidRPr="00971368" w:rsidTr="00C1212C">
        <w:trPr>
          <w:trHeight w:val="512"/>
        </w:trPr>
        <w:tc>
          <w:tcPr>
            <w:tcW w:w="1288" w:type="pct"/>
          </w:tcPr>
          <w:p w:rsidR="008816FE" w:rsidRPr="00971368" w:rsidRDefault="008816FE" w:rsidP="00C1212C">
            <w:pPr>
              <w:spacing w:after="0" w:line="240" w:lineRule="auto"/>
              <w:rPr>
                <w:rFonts w:asciiTheme="minorHAnsi" w:hAnsiTheme="minorHAnsi" w:cstheme="minorHAnsi"/>
                <w:sz w:val="18"/>
                <w:szCs w:val="18"/>
              </w:rPr>
            </w:pPr>
          </w:p>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SCOPA-COG</w:t>
            </w:r>
            <w:r w:rsidRPr="00971368">
              <w:rPr>
                <w:rFonts w:asciiTheme="minorHAnsi" w:hAnsiTheme="minorHAnsi" w:cstheme="minorHAnsi"/>
                <w:sz w:val="18"/>
                <w:szCs w:val="18"/>
                <w:vertAlign w:val="superscript"/>
              </w:rPr>
              <w:t>◊</w:t>
            </w:r>
          </w:p>
        </w:tc>
        <w:tc>
          <w:tcPr>
            <w:tcW w:w="1000"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2</w:t>
            </w:r>
          </w:p>
        </w:tc>
        <w:tc>
          <w:tcPr>
            <w:tcW w:w="557"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1.25</w:t>
            </w:r>
          </w:p>
        </w:tc>
        <w:tc>
          <w:tcPr>
            <w:tcW w:w="710" w:type="pct"/>
            <w:vAlign w:val="center"/>
          </w:tcPr>
          <w:p w:rsidR="008816FE" w:rsidRPr="00971368" w:rsidRDefault="001C0E15" w:rsidP="00C1212C">
            <w:pPr>
              <w:spacing w:after="0" w:line="360" w:lineRule="auto"/>
              <w:jc w:val="center"/>
              <w:rPr>
                <w:rFonts w:asciiTheme="minorHAnsi" w:hAnsiTheme="minorHAnsi" w:cstheme="minorHAnsi"/>
                <w:sz w:val="18"/>
                <w:szCs w:val="18"/>
              </w:rPr>
            </w:pPr>
            <w:r w:rsidRPr="00971368">
              <w:rPr>
                <w:rFonts w:asciiTheme="minorHAnsi" w:hAnsiTheme="minorHAnsi" w:cstheme="minorHAnsi"/>
                <w:sz w:val="18"/>
                <w:szCs w:val="18"/>
              </w:rPr>
              <w:t>2</w:t>
            </w:r>
          </w:p>
        </w:tc>
        <w:tc>
          <w:tcPr>
            <w:tcW w:w="710"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3</w:t>
            </w:r>
          </w:p>
        </w:tc>
        <w:tc>
          <w:tcPr>
            <w:tcW w:w="735"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10-15 min</w:t>
            </w:r>
          </w:p>
        </w:tc>
      </w:tr>
      <w:tr w:rsidR="008816FE" w:rsidRPr="00971368" w:rsidTr="00C1212C">
        <w:trPr>
          <w:trHeight w:val="539"/>
        </w:trPr>
        <w:tc>
          <w:tcPr>
            <w:tcW w:w="1288" w:type="pct"/>
          </w:tcPr>
          <w:p w:rsidR="008816FE" w:rsidRPr="00971368" w:rsidRDefault="008816FE" w:rsidP="00C1212C">
            <w:pPr>
              <w:spacing w:after="0" w:line="240" w:lineRule="auto"/>
              <w:jc w:val="center"/>
              <w:rPr>
                <w:rFonts w:asciiTheme="minorHAnsi" w:hAnsiTheme="minorHAnsi" w:cstheme="minorHAnsi"/>
                <w:sz w:val="18"/>
                <w:szCs w:val="18"/>
                <w:vertAlign w:val="superscript"/>
              </w:rPr>
            </w:pPr>
            <w:r w:rsidRPr="00971368">
              <w:rPr>
                <w:rFonts w:asciiTheme="minorHAnsi" w:hAnsiTheme="minorHAnsi" w:cstheme="minorHAnsi"/>
                <w:sz w:val="18"/>
                <w:szCs w:val="18"/>
              </w:rPr>
              <w:t>Short Portable Mental Status Questionnaire</w:t>
            </w:r>
            <w:r w:rsidRPr="00971368">
              <w:rPr>
                <w:rFonts w:ascii="Arial" w:hAnsi="Arial" w:cs="Arial"/>
                <w:sz w:val="20"/>
                <w:szCs w:val="20"/>
                <w:vertAlign w:val="superscript"/>
              </w:rPr>
              <w:t>▲</w:t>
            </w:r>
          </w:p>
        </w:tc>
        <w:tc>
          <w:tcPr>
            <w:tcW w:w="1000"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3</w:t>
            </w:r>
          </w:p>
        </w:tc>
        <w:tc>
          <w:tcPr>
            <w:tcW w:w="557" w:type="pct"/>
            <w:vAlign w:val="center"/>
          </w:tcPr>
          <w:p w:rsidR="008816FE" w:rsidRPr="00971368" w:rsidRDefault="008816FE" w:rsidP="00C1212C">
            <w:pPr>
              <w:spacing w:after="0" w:line="360" w:lineRule="auto"/>
              <w:jc w:val="center"/>
              <w:rPr>
                <w:rFonts w:asciiTheme="minorHAnsi" w:hAnsiTheme="minorHAnsi" w:cstheme="minorHAnsi"/>
                <w:sz w:val="18"/>
                <w:szCs w:val="18"/>
              </w:rPr>
            </w:pPr>
            <w:r w:rsidRPr="00971368">
              <w:rPr>
                <w:rFonts w:asciiTheme="minorHAnsi" w:hAnsiTheme="minorHAnsi" w:cstheme="minorHAnsi"/>
                <w:sz w:val="18"/>
                <w:szCs w:val="18"/>
              </w:rPr>
              <w:t>N/A</w:t>
            </w:r>
          </w:p>
        </w:tc>
        <w:tc>
          <w:tcPr>
            <w:tcW w:w="710" w:type="pct"/>
            <w:vAlign w:val="center"/>
          </w:tcPr>
          <w:p w:rsidR="008816FE" w:rsidRPr="00971368" w:rsidRDefault="008816FE" w:rsidP="00C1212C">
            <w:pPr>
              <w:spacing w:after="0" w:line="360" w:lineRule="auto"/>
              <w:jc w:val="center"/>
              <w:rPr>
                <w:rFonts w:asciiTheme="minorHAnsi" w:hAnsiTheme="minorHAnsi" w:cstheme="minorHAnsi"/>
                <w:sz w:val="18"/>
                <w:szCs w:val="18"/>
              </w:rPr>
            </w:pPr>
            <w:r w:rsidRPr="00971368">
              <w:rPr>
                <w:rFonts w:asciiTheme="minorHAnsi" w:hAnsiTheme="minorHAnsi" w:cstheme="minorHAnsi"/>
                <w:sz w:val="18"/>
                <w:szCs w:val="18"/>
              </w:rPr>
              <w:t>N/A</w:t>
            </w:r>
          </w:p>
        </w:tc>
        <w:tc>
          <w:tcPr>
            <w:tcW w:w="710" w:type="pct"/>
            <w:vAlign w:val="center"/>
          </w:tcPr>
          <w:p w:rsidR="008816FE" w:rsidRPr="00971368" w:rsidRDefault="008816FE" w:rsidP="00C1212C">
            <w:pPr>
              <w:spacing w:after="0" w:line="360" w:lineRule="auto"/>
              <w:jc w:val="center"/>
              <w:rPr>
                <w:rFonts w:asciiTheme="minorHAnsi" w:hAnsiTheme="minorHAnsi" w:cstheme="minorHAnsi"/>
                <w:sz w:val="18"/>
                <w:szCs w:val="18"/>
              </w:rPr>
            </w:pPr>
            <w:r w:rsidRPr="00971368">
              <w:rPr>
                <w:rFonts w:asciiTheme="minorHAnsi" w:hAnsiTheme="minorHAnsi" w:cstheme="minorHAnsi"/>
                <w:sz w:val="18"/>
                <w:szCs w:val="18"/>
              </w:rPr>
              <w:t>N/A</w:t>
            </w:r>
          </w:p>
        </w:tc>
        <w:tc>
          <w:tcPr>
            <w:tcW w:w="735" w:type="pct"/>
            <w:vAlign w:val="center"/>
          </w:tcPr>
          <w:p w:rsidR="008816FE" w:rsidRPr="00971368" w:rsidRDefault="008816FE" w:rsidP="00C1212C">
            <w:pPr>
              <w:spacing w:after="0" w:line="240" w:lineRule="auto"/>
              <w:jc w:val="center"/>
              <w:rPr>
                <w:rFonts w:asciiTheme="minorHAnsi" w:hAnsiTheme="minorHAnsi" w:cstheme="minorHAnsi"/>
                <w:sz w:val="18"/>
                <w:szCs w:val="18"/>
              </w:rPr>
            </w:pPr>
            <w:r w:rsidRPr="00971368">
              <w:rPr>
                <w:rFonts w:asciiTheme="minorHAnsi" w:hAnsiTheme="minorHAnsi" w:cstheme="minorHAnsi"/>
                <w:sz w:val="18"/>
                <w:szCs w:val="18"/>
              </w:rPr>
              <w:t>5 min</w:t>
            </w:r>
          </w:p>
        </w:tc>
      </w:tr>
    </w:tbl>
    <w:p w:rsidR="008816FE" w:rsidRPr="00971368" w:rsidRDefault="008816FE" w:rsidP="008816FE">
      <w:pPr>
        <w:spacing w:after="0" w:line="240" w:lineRule="auto"/>
        <w:ind w:left="1440" w:firstLine="720"/>
        <w:rPr>
          <w:rFonts w:asciiTheme="minorHAnsi" w:hAnsiTheme="minorHAnsi" w:cstheme="minorHAnsi"/>
          <w:sz w:val="20"/>
          <w:szCs w:val="20"/>
        </w:rPr>
      </w:pPr>
      <w:r w:rsidRPr="00971368">
        <w:rPr>
          <w:rFonts w:asciiTheme="minorHAnsi" w:hAnsiTheme="minorHAnsi" w:cstheme="minorHAnsi"/>
          <w:vertAlign w:val="superscript"/>
        </w:rPr>
        <w:t>a</w:t>
      </w:r>
      <w:r w:rsidR="00971368" w:rsidRPr="00971368">
        <w:rPr>
          <w:rFonts w:asciiTheme="minorHAnsi" w:hAnsiTheme="minorHAnsi" w:cstheme="minorHAnsi"/>
          <w:vertAlign w:val="superscript"/>
        </w:rPr>
        <w:t xml:space="preserve"> </w:t>
      </w:r>
      <w:r w:rsidRPr="00971368">
        <w:rPr>
          <w:rFonts w:asciiTheme="minorHAnsi" w:hAnsiTheme="minorHAnsi" w:cstheme="minorHAnsi"/>
          <w:sz w:val="20"/>
          <w:szCs w:val="20"/>
          <w:u w:val="single"/>
        </w:rPr>
        <w:t>Screening Instrument</w:t>
      </w:r>
      <w:r w:rsidRPr="00971368">
        <w:rPr>
          <w:rFonts w:asciiTheme="minorHAnsi" w:hAnsiTheme="minorHAnsi" w:cstheme="minorHAnsi"/>
          <w:sz w:val="20"/>
          <w:szCs w:val="20"/>
        </w:rPr>
        <w:t xml:space="preserve"> - For initial identification of possible disorder; </w:t>
      </w:r>
    </w:p>
    <w:p w:rsidR="008816FE" w:rsidRPr="00971368" w:rsidRDefault="008816FE" w:rsidP="008816FE">
      <w:pPr>
        <w:spacing w:after="0" w:line="240" w:lineRule="auto"/>
        <w:ind w:left="1440" w:firstLine="720"/>
        <w:rPr>
          <w:rFonts w:asciiTheme="minorHAnsi" w:hAnsiTheme="minorHAnsi" w:cstheme="minorHAnsi"/>
          <w:sz w:val="20"/>
          <w:szCs w:val="20"/>
        </w:rPr>
      </w:pPr>
      <w:r w:rsidRPr="00971368">
        <w:rPr>
          <w:rFonts w:asciiTheme="minorHAnsi" w:hAnsiTheme="minorHAnsi" w:cstheme="minorHAnsi"/>
          <w:sz w:val="20"/>
          <w:szCs w:val="20"/>
          <w:vertAlign w:val="superscript"/>
        </w:rPr>
        <w:t xml:space="preserve">b </w:t>
      </w:r>
      <w:r w:rsidRPr="00971368">
        <w:rPr>
          <w:rFonts w:asciiTheme="minorHAnsi" w:hAnsiTheme="minorHAnsi" w:cstheme="minorHAnsi"/>
          <w:sz w:val="20"/>
          <w:szCs w:val="20"/>
          <w:u w:val="single"/>
        </w:rPr>
        <w:t>Rating Scale</w:t>
      </w:r>
      <w:r w:rsidRPr="00971368">
        <w:rPr>
          <w:rFonts w:asciiTheme="minorHAnsi" w:hAnsiTheme="minorHAnsi" w:cstheme="minorHAnsi"/>
          <w:sz w:val="20"/>
          <w:szCs w:val="20"/>
        </w:rPr>
        <w:t xml:space="preserve"> - For measurement of disorder severity </w:t>
      </w:r>
    </w:p>
    <w:p w:rsidR="008816FE" w:rsidRPr="00971368" w:rsidRDefault="008816FE" w:rsidP="008816FE">
      <w:pPr>
        <w:spacing w:after="0" w:line="240" w:lineRule="auto"/>
        <w:ind w:left="1440" w:firstLine="720"/>
        <w:rPr>
          <w:rFonts w:asciiTheme="minorHAnsi" w:hAnsiTheme="minorHAnsi" w:cstheme="minorHAnsi"/>
          <w:sz w:val="20"/>
          <w:szCs w:val="20"/>
        </w:rPr>
      </w:pPr>
      <w:r w:rsidRPr="00971368">
        <w:rPr>
          <w:rFonts w:asciiTheme="minorHAnsi" w:hAnsiTheme="minorHAnsi" w:cstheme="minorHAnsi"/>
          <w:sz w:val="20"/>
          <w:szCs w:val="20"/>
          <w:vertAlign w:val="superscript"/>
        </w:rPr>
        <w:t>c</w:t>
      </w:r>
      <w:r w:rsidRPr="00971368">
        <w:rPr>
          <w:rFonts w:asciiTheme="minorHAnsi" w:hAnsiTheme="minorHAnsi" w:cstheme="minorHAnsi"/>
          <w:sz w:val="20"/>
          <w:szCs w:val="20"/>
        </w:rPr>
        <w:t xml:space="preserve"> </w:t>
      </w:r>
      <w:r w:rsidRPr="00971368">
        <w:rPr>
          <w:rFonts w:asciiTheme="minorHAnsi" w:hAnsiTheme="minorHAnsi" w:cstheme="minorHAnsi"/>
          <w:sz w:val="20"/>
          <w:szCs w:val="20"/>
          <w:u w:val="single"/>
        </w:rPr>
        <w:t>Longitudinal</w:t>
      </w:r>
      <w:r w:rsidRPr="00971368">
        <w:rPr>
          <w:rFonts w:asciiTheme="minorHAnsi" w:hAnsiTheme="minorHAnsi" w:cstheme="minorHAnsi"/>
          <w:sz w:val="20"/>
          <w:szCs w:val="20"/>
        </w:rPr>
        <w:t xml:space="preserve"> - Sensitivity to change over time </w:t>
      </w:r>
    </w:p>
    <w:p w:rsidR="008816FE" w:rsidRPr="00971368" w:rsidRDefault="008816FE" w:rsidP="008816FE">
      <w:pPr>
        <w:spacing w:after="0" w:line="240" w:lineRule="auto"/>
        <w:ind w:left="1440" w:firstLine="720"/>
        <w:rPr>
          <w:rFonts w:asciiTheme="minorHAnsi" w:hAnsiTheme="minorHAnsi" w:cstheme="minorHAnsi"/>
          <w:sz w:val="20"/>
          <w:szCs w:val="20"/>
        </w:rPr>
      </w:pPr>
      <w:r w:rsidRPr="00971368">
        <w:rPr>
          <w:rFonts w:asciiTheme="minorHAnsi" w:hAnsiTheme="minorHAnsi" w:cstheme="minorHAnsi"/>
          <w:sz w:val="20"/>
          <w:szCs w:val="20"/>
          <w:vertAlign w:val="superscript"/>
        </w:rPr>
        <w:t>d</w:t>
      </w:r>
      <w:r w:rsidRPr="00971368">
        <w:rPr>
          <w:rFonts w:asciiTheme="minorHAnsi" w:hAnsiTheme="minorHAnsi" w:cstheme="minorHAnsi"/>
          <w:sz w:val="20"/>
          <w:szCs w:val="20"/>
        </w:rPr>
        <w:t xml:space="preserve"> </w:t>
      </w:r>
      <w:r w:rsidRPr="00971368">
        <w:rPr>
          <w:rFonts w:asciiTheme="minorHAnsi" w:hAnsiTheme="minorHAnsi" w:cstheme="minorHAnsi"/>
          <w:sz w:val="20"/>
          <w:szCs w:val="20"/>
          <w:u w:val="single"/>
        </w:rPr>
        <w:t>Diagnostic Criteria and Instrument</w:t>
      </w:r>
      <w:r w:rsidRPr="00971368">
        <w:rPr>
          <w:rFonts w:asciiTheme="minorHAnsi" w:hAnsiTheme="minorHAnsi" w:cstheme="minorHAnsi"/>
          <w:sz w:val="20"/>
          <w:szCs w:val="20"/>
        </w:rPr>
        <w:t xml:space="preserve"> – Categorization of patients into those with and without a disorder</w:t>
      </w:r>
    </w:p>
    <w:p w:rsidR="008816FE" w:rsidRPr="00971368" w:rsidRDefault="008816FE" w:rsidP="008816FE">
      <w:pPr>
        <w:spacing w:after="0" w:line="240" w:lineRule="auto"/>
        <w:ind w:left="1440" w:firstLine="720"/>
        <w:rPr>
          <w:rFonts w:asciiTheme="minorHAnsi" w:hAnsiTheme="minorHAnsi" w:cstheme="minorHAnsi"/>
          <w:sz w:val="18"/>
          <w:szCs w:val="18"/>
        </w:rPr>
      </w:pPr>
      <w:r w:rsidRPr="00971368">
        <w:rPr>
          <w:rFonts w:asciiTheme="minorHAnsi" w:hAnsiTheme="minorHAnsi" w:cstheme="minorHAnsi"/>
          <w:sz w:val="18"/>
          <w:szCs w:val="18"/>
        </w:rPr>
        <w:t xml:space="preserve">† </w:t>
      </w:r>
      <w:r w:rsidRPr="00971368">
        <w:rPr>
          <w:rFonts w:asciiTheme="minorHAnsi" w:hAnsiTheme="minorHAnsi" w:cstheme="minorHAnsi"/>
          <w:sz w:val="20"/>
          <w:szCs w:val="20"/>
        </w:rPr>
        <w:t>Instrument available from author– refer to Instrument Summary for information on availability</w:t>
      </w:r>
    </w:p>
    <w:p w:rsidR="008816FE" w:rsidRPr="00971368" w:rsidRDefault="008816FE" w:rsidP="008816FE">
      <w:pPr>
        <w:spacing w:after="0" w:line="240" w:lineRule="auto"/>
        <w:ind w:left="1440" w:firstLine="720"/>
        <w:rPr>
          <w:rFonts w:asciiTheme="minorHAnsi" w:hAnsiTheme="minorHAnsi" w:cstheme="minorHAnsi"/>
          <w:sz w:val="20"/>
          <w:szCs w:val="20"/>
        </w:rPr>
      </w:pPr>
      <w:r w:rsidRPr="00971368">
        <w:rPr>
          <w:rFonts w:asciiTheme="minorHAnsi" w:hAnsiTheme="minorHAnsi" w:cstheme="minorHAnsi"/>
          <w:sz w:val="18"/>
          <w:szCs w:val="18"/>
        </w:rPr>
        <w:t xml:space="preserve">◊ </w:t>
      </w:r>
      <w:r w:rsidRPr="00971368">
        <w:rPr>
          <w:rFonts w:asciiTheme="minorHAnsi" w:hAnsiTheme="minorHAnsi" w:cstheme="minorHAnsi"/>
          <w:sz w:val="20"/>
          <w:szCs w:val="20"/>
        </w:rPr>
        <w:t>Instrument available in public domain</w:t>
      </w:r>
      <w:r w:rsidRPr="00971368">
        <w:rPr>
          <w:rFonts w:asciiTheme="minorHAnsi" w:hAnsiTheme="minorHAnsi" w:cstheme="minorHAnsi"/>
          <w:sz w:val="18"/>
          <w:szCs w:val="18"/>
        </w:rPr>
        <w:t xml:space="preserve"> </w:t>
      </w:r>
      <w:r w:rsidRPr="00971368">
        <w:rPr>
          <w:rFonts w:asciiTheme="minorHAnsi" w:hAnsiTheme="minorHAnsi" w:cstheme="minorHAnsi"/>
          <w:sz w:val="20"/>
          <w:szCs w:val="20"/>
        </w:rPr>
        <w:t>– refer to Instrument Summary for information on availability</w:t>
      </w:r>
    </w:p>
    <w:p w:rsidR="008816FE" w:rsidRPr="00971368" w:rsidRDefault="008816FE" w:rsidP="008816FE">
      <w:pPr>
        <w:spacing w:after="0" w:line="240" w:lineRule="auto"/>
        <w:ind w:left="1440"/>
        <w:rPr>
          <w:rFonts w:asciiTheme="minorHAnsi" w:hAnsiTheme="minorHAnsi" w:cstheme="minorHAnsi"/>
          <w:sz w:val="18"/>
          <w:szCs w:val="18"/>
        </w:rPr>
      </w:pPr>
      <w:r w:rsidRPr="00971368">
        <w:rPr>
          <w:rFonts w:asciiTheme="minorHAnsi" w:hAnsiTheme="minorHAnsi" w:cstheme="minorHAnsi"/>
          <w:sz w:val="20"/>
          <w:szCs w:val="20"/>
        </w:rPr>
        <w:t xml:space="preserve">              </w:t>
      </w:r>
      <w:r w:rsidRPr="00971368">
        <w:rPr>
          <w:rFonts w:ascii="Arial" w:hAnsi="Arial" w:cs="Arial"/>
          <w:sz w:val="20"/>
          <w:szCs w:val="20"/>
        </w:rPr>
        <w:t>▲</w:t>
      </w:r>
      <w:r w:rsidRPr="00971368">
        <w:rPr>
          <w:rFonts w:asciiTheme="minorHAnsi" w:hAnsiTheme="minorHAnsi" w:cstheme="minorHAnsi"/>
          <w:sz w:val="20"/>
          <w:szCs w:val="20"/>
        </w:rPr>
        <w:t xml:space="preserve"> Free to investigators– refer to Instrument Summary for information on availability</w:t>
      </w:r>
    </w:p>
    <w:p w:rsidR="008816FE" w:rsidRPr="00971368" w:rsidRDefault="008816FE" w:rsidP="008816FE">
      <w:pPr>
        <w:spacing w:after="0" w:line="240" w:lineRule="auto"/>
        <w:ind w:left="1440" w:firstLine="720"/>
        <w:rPr>
          <w:rFonts w:asciiTheme="minorHAnsi" w:hAnsiTheme="minorHAnsi" w:cstheme="minorHAnsi"/>
          <w:sz w:val="20"/>
          <w:szCs w:val="20"/>
        </w:rPr>
      </w:pPr>
      <w:r w:rsidRPr="00971368">
        <w:rPr>
          <w:rFonts w:asciiTheme="minorHAnsi" w:hAnsiTheme="minorHAnsi" w:cstheme="minorHAnsi"/>
          <w:sz w:val="20"/>
          <w:szCs w:val="20"/>
        </w:rPr>
        <w:t>□ Copyrighted Instrument – refer to Instrument Summary for information on availability</w:t>
      </w:r>
    </w:p>
    <w:p w:rsidR="008816FE" w:rsidRPr="00971368" w:rsidRDefault="008816FE" w:rsidP="008816FE">
      <w:pPr>
        <w:spacing w:after="0" w:line="240" w:lineRule="auto"/>
        <w:rPr>
          <w:rFonts w:asciiTheme="minorHAnsi" w:hAnsiTheme="minorHAnsi" w:cstheme="minorHAnsi"/>
          <w:sz w:val="20"/>
          <w:szCs w:val="20"/>
        </w:rPr>
      </w:pPr>
    </w:p>
    <w:p w:rsidR="00C1212C" w:rsidRPr="00971368" w:rsidRDefault="008816FE" w:rsidP="008816FE">
      <w:pPr>
        <w:spacing w:after="0" w:line="240" w:lineRule="auto"/>
        <w:ind w:left="720"/>
        <w:rPr>
          <w:rFonts w:asciiTheme="minorHAnsi" w:hAnsiTheme="minorHAnsi" w:cstheme="minorHAnsi"/>
          <w:sz w:val="20"/>
          <w:szCs w:val="20"/>
        </w:rPr>
        <w:sectPr w:rsidR="00C1212C" w:rsidRPr="00971368" w:rsidSect="00C1212C">
          <w:footerReference w:type="default" r:id="rId11"/>
          <w:pgSz w:w="15840" w:h="12240" w:orient="landscape"/>
          <w:pgMar w:top="450" w:right="1440" w:bottom="1080" w:left="1440" w:header="720" w:footer="0" w:gutter="0"/>
          <w:cols w:space="720"/>
          <w:docGrid w:linePitch="360"/>
        </w:sectPr>
      </w:pPr>
      <w:r w:rsidRPr="00971368">
        <w:rPr>
          <w:rFonts w:asciiTheme="minorHAnsi" w:hAnsiTheme="minorHAnsi" w:cstheme="minorHAnsi"/>
          <w:sz w:val="20"/>
          <w:szCs w:val="20"/>
        </w:rPr>
        <w:t xml:space="preserve">                        </w:t>
      </w:r>
      <w:r w:rsidRPr="00971368">
        <w:rPr>
          <w:rFonts w:asciiTheme="minorHAnsi" w:hAnsiTheme="minorHAnsi" w:cstheme="minorHAnsi"/>
          <w:b/>
          <w:sz w:val="20"/>
          <w:szCs w:val="20"/>
        </w:rPr>
        <w:t>Please note</w:t>
      </w:r>
      <w:r w:rsidRPr="00971368">
        <w:rPr>
          <w:rFonts w:asciiTheme="minorHAnsi" w:hAnsiTheme="minorHAnsi" w:cstheme="minorHAnsi"/>
          <w:sz w:val="20"/>
          <w:szCs w:val="20"/>
        </w:rPr>
        <w:t>: Each of the above scales are being given a score of 1, 2, 3 for suitability (1= highest or best, 3= lowest or worst)</w:t>
      </w:r>
    </w:p>
    <w:p w:rsidR="00C1212C" w:rsidRPr="00C1212C" w:rsidRDefault="00C1212C" w:rsidP="00C1212C">
      <w:pPr>
        <w:pStyle w:val="Header"/>
        <w:jc w:val="center"/>
        <w:rPr>
          <w:rFonts w:cs="Arial"/>
          <w:b/>
        </w:rPr>
      </w:pPr>
      <w:r w:rsidRPr="00C1212C">
        <w:rPr>
          <w:rFonts w:cs="Arial"/>
          <w:b/>
        </w:rPr>
        <w:lastRenderedPageBreak/>
        <w:t>Appendix A: NINDS PD CDEs – Cognitive Subgroup Psychometric Validation Scale</w:t>
      </w:r>
    </w:p>
    <w:p w:rsidR="00C1212C" w:rsidRDefault="00C1212C" w:rsidP="00C1212C">
      <w:pPr>
        <w:spacing w:after="120"/>
        <w:ind w:firstLine="720"/>
      </w:pPr>
    </w:p>
    <w:p w:rsidR="00C1212C" w:rsidRDefault="00C1212C" w:rsidP="00C1212C">
      <w:pPr>
        <w:spacing w:after="120"/>
        <w:ind w:firstLine="720"/>
      </w:pPr>
      <w:r>
        <w:t xml:space="preserve">Below are some musings on psychometric – clinimetric assessments for scale reliability and validity. There are other more esoteric tests (e.g., differential item function), but those are really outside the scope of these efforts. For basic definitions, reliability is defined as how free from random (and non-random) error a measure </w:t>
      </w:r>
      <w:proofErr w:type="gramStart"/>
      <w:r>
        <w:t>is</w:t>
      </w:r>
      <w:proofErr w:type="gramEnd"/>
      <w:r>
        <w:t xml:space="preserve"> and validity is defined as whether or not a scale measures what it was designed to measure.  An important concept is that the validity coefficient (ranging from 0 to 1) can never exceed the reliability coefficient squared (ranging from 0 to 1). So you can have a reliable scale that is not valid, but you cannot have a valid scale that is not reliable.</w:t>
      </w:r>
    </w:p>
    <w:p w:rsidR="00C1212C" w:rsidRPr="00911626" w:rsidRDefault="00C1212C" w:rsidP="00C1212C">
      <w:pPr>
        <w:spacing w:after="120"/>
      </w:pPr>
      <w:r w:rsidRPr="00911626">
        <w:tab/>
        <w:t>Below each description is a listing of whether the assessment may be influenced by patient characteristics. All of these assessments of group influence are based on psychometric theory and may break down in clinical practice.</w:t>
      </w:r>
    </w:p>
    <w:p w:rsidR="00C1212C" w:rsidRPr="00911626" w:rsidRDefault="00C1212C" w:rsidP="00C1212C">
      <w:pPr>
        <w:spacing w:after="120"/>
      </w:pPr>
    </w:p>
    <w:p w:rsidR="00C1212C" w:rsidRPr="00911626" w:rsidRDefault="00C1212C" w:rsidP="00C1212C">
      <w:pPr>
        <w:spacing w:after="120"/>
      </w:pPr>
      <w:r w:rsidRPr="00911626">
        <w:rPr>
          <w:b/>
          <w:u w:val="single"/>
        </w:rPr>
        <w:t>Reliability</w:t>
      </w:r>
    </w:p>
    <w:p w:rsidR="00C1212C" w:rsidRPr="00911626" w:rsidRDefault="00C1212C" w:rsidP="00C1212C">
      <w:pPr>
        <w:widowControl w:val="0"/>
        <w:tabs>
          <w:tab w:val="left" w:pos="940"/>
          <w:tab w:val="left" w:pos="1440"/>
        </w:tabs>
        <w:adjustRightInd w:val="0"/>
      </w:pPr>
      <w:r w:rsidRPr="00911626">
        <w:t>1. Internal consistency - Estimation of the correlation among the variables comprising the scale across all possible combination of variables. Typically assessed with Cronbach's alpha.</w:t>
      </w:r>
    </w:p>
    <w:p w:rsidR="00C1212C" w:rsidRPr="00911626" w:rsidRDefault="00C1212C" w:rsidP="00C1212C">
      <w:pPr>
        <w:widowControl w:val="0"/>
        <w:tabs>
          <w:tab w:val="left" w:pos="940"/>
          <w:tab w:val="left" w:pos="1440"/>
        </w:tabs>
        <w:adjustRightInd w:val="0"/>
      </w:pPr>
      <w:r w:rsidRPr="00911626">
        <w:tab/>
        <w:t>Independent of group characteristics</w:t>
      </w:r>
    </w:p>
    <w:p w:rsidR="00C1212C" w:rsidRPr="00911626" w:rsidRDefault="00C1212C" w:rsidP="00C1212C">
      <w:pPr>
        <w:widowControl w:val="0"/>
        <w:tabs>
          <w:tab w:val="left" w:pos="940"/>
          <w:tab w:val="left" w:pos="1440"/>
        </w:tabs>
        <w:adjustRightInd w:val="0"/>
      </w:pPr>
      <w:r w:rsidRPr="00911626">
        <w:t>2. Split-half reliability – Estimation of the correlation of two half-forms of the scale across all possible halves. Typically assessed with the Spearman-Brown coefficient or Guttman’s split-half reliability coefficient.</w:t>
      </w:r>
    </w:p>
    <w:p w:rsidR="00C1212C" w:rsidRPr="00911626" w:rsidRDefault="00C1212C" w:rsidP="00C1212C">
      <w:pPr>
        <w:widowControl w:val="0"/>
        <w:tabs>
          <w:tab w:val="left" w:pos="940"/>
          <w:tab w:val="left" w:pos="1440"/>
        </w:tabs>
        <w:adjustRightInd w:val="0"/>
      </w:pPr>
      <w:r w:rsidRPr="00911626">
        <w:tab/>
        <w:t>Indep</w:t>
      </w:r>
      <w:r>
        <w:t>endent of group characteristics</w:t>
      </w:r>
    </w:p>
    <w:p w:rsidR="00C1212C" w:rsidRPr="00911626" w:rsidRDefault="00C1212C" w:rsidP="00C1212C">
      <w:pPr>
        <w:widowControl w:val="0"/>
        <w:tabs>
          <w:tab w:val="left" w:pos="940"/>
          <w:tab w:val="left" w:pos="1440"/>
        </w:tabs>
        <w:adjustRightInd w:val="0"/>
      </w:pPr>
      <w:r w:rsidRPr="00911626">
        <w:t>3. Alternate form reliability – Estimation of equivalent measures across various forms of the measurement scale.  Typically assessed with correlation coefficient.</w:t>
      </w:r>
    </w:p>
    <w:p w:rsidR="00C1212C" w:rsidRPr="00911626" w:rsidRDefault="00C1212C" w:rsidP="00C1212C">
      <w:pPr>
        <w:widowControl w:val="0"/>
        <w:tabs>
          <w:tab w:val="left" w:pos="940"/>
          <w:tab w:val="left" w:pos="1440"/>
        </w:tabs>
        <w:adjustRightInd w:val="0"/>
      </w:pPr>
      <w:r w:rsidRPr="00911626">
        <w:tab/>
        <w:t>Independent of group characteristics</w:t>
      </w:r>
    </w:p>
    <w:p w:rsidR="00C1212C" w:rsidRPr="00911626" w:rsidRDefault="00C1212C" w:rsidP="00C1212C">
      <w:pPr>
        <w:widowControl w:val="0"/>
        <w:tabs>
          <w:tab w:val="left" w:pos="940"/>
          <w:tab w:val="left" w:pos="1440"/>
        </w:tabs>
        <w:adjustRightInd w:val="0"/>
      </w:pPr>
      <w:r w:rsidRPr="00911626">
        <w:t>4. Test-retest reliability - Estimation based on the correlation between two (or more) administrations of the same item, scale, or instrument for different times, locations, or populations, when the two administrations do not differ on other relevant variables. Typically assessed using the Spearman Brown coefficient, kappa, generalized kappa for more than 2 time points.</w:t>
      </w:r>
    </w:p>
    <w:p w:rsidR="00C1212C" w:rsidRPr="00911626" w:rsidRDefault="00C1212C" w:rsidP="00C1212C">
      <w:pPr>
        <w:widowControl w:val="0"/>
        <w:tabs>
          <w:tab w:val="left" w:pos="940"/>
          <w:tab w:val="left" w:pos="1440"/>
        </w:tabs>
        <w:adjustRightInd w:val="0"/>
      </w:pPr>
      <w:r w:rsidRPr="00911626">
        <w:tab/>
        <w:t>May be influenced by group characteristics</w:t>
      </w:r>
    </w:p>
    <w:p w:rsidR="00C1212C" w:rsidRPr="00911626" w:rsidRDefault="00C1212C" w:rsidP="00C1212C">
      <w:pPr>
        <w:widowControl w:val="0"/>
        <w:tabs>
          <w:tab w:val="left" w:pos="940"/>
          <w:tab w:val="left" w:pos="1440"/>
        </w:tabs>
        <w:adjustRightInd w:val="0"/>
      </w:pPr>
      <w:r w:rsidRPr="00911626">
        <w:t>5. Inter(Intra)-scorer reliability - Estimation based on the correlation of scores between/among two or more examiners who examine the same patient with the same scale. Typically assessed with intra</w:t>
      </w:r>
      <w:r>
        <w:t>-</w:t>
      </w:r>
      <w:r w:rsidRPr="00911626">
        <w:t>class correlation, kappa, generalized kappa.</w:t>
      </w:r>
    </w:p>
    <w:p w:rsidR="00C1212C" w:rsidRPr="00911626" w:rsidRDefault="00C1212C" w:rsidP="00C1212C">
      <w:pPr>
        <w:widowControl w:val="0"/>
        <w:tabs>
          <w:tab w:val="left" w:pos="940"/>
          <w:tab w:val="left" w:pos="1440"/>
        </w:tabs>
        <w:adjustRightInd w:val="0"/>
      </w:pPr>
      <w:r w:rsidRPr="00911626">
        <w:tab/>
        <w:t>May be influenced by group characteristics</w:t>
      </w:r>
    </w:p>
    <w:p w:rsidR="00C1212C" w:rsidRPr="00911626" w:rsidRDefault="00C1212C" w:rsidP="00C1212C">
      <w:pPr>
        <w:spacing w:after="120"/>
        <w:rPr>
          <w:b/>
          <w:u w:val="single"/>
        </w:rPr>
      </w:pPr>
      <w:r w:rsidRPr="00911626">
        <w:rPr>
          <w:b/>
          <w:u w:val="single"/>
        </w:rPr>
        <w:t>Validity</w:t>
      </w:r>
    </w:p>
    <w:p w:rsidR="00C1212C" w:rsidRPr="00911626" w:rsidRDefault="00C1212C" w:rsidP="00C1212C">
      <w:pPr>
        <w:spacing w:after="120"/>
      </w:pPr>
      <w:r w:rsidRPr="00911626">
        <w:t xml:space="preserve">1. Content validity – Estimation of the extent to which a measurement reflects a specific domain of interest. Typically assessed with “Face Validity” (does the measure seem to cover the domain of interest) or with a Content Validity Ratio </w:t>
      </w:r>
      <w:r w:rsidRPr="00911626">
        <w:lastRenderedPageBreak/>
        <w:t>(CVR provides a metric for assessing the agreement among raters or judges regarding how essential a particular item is to a given domain).</w:t>
      </w:r>
    </w:p>
    <w:p w:rsidR="00C1212C" w:rsidRPr="00911626" w:rsidRDefault="00C1212C" w:rsidP="00C1212C">
      <w:pPr>
        <w:widowControl w:val="0"/>
        <w:tabs>
          <w:tab w:val="left" w:pos="940"/>
          <w:tab w:val="left" w:pos="1440"/>
        </w:tabs>
        <w:adjustRightInd w:val="0"/>
      </w:pPr>
      <w:r w:rsidRPr="00911626">
        <w:tab/>
        <w:t>Independent of group characteristics</w:t>
      </w:r>
    </w:p>
    <w:p w:rsidR="00C1212C" w:rsidRDefault="00C1212C" w:rsidP="00C1212C">
      <w:pPr>
        <w:spacing w:after="120"/>
      </w:pPr>
      <w:r w:rsidRPr="00911626">
        <w:t xml:space="preserve">2. Construct validity – Estimation as to the adequacy of </w:t>
      </w:r>
      <w:r w:rsidR="000C6C56">
        <w:t xml:space="preserve">a </w:t>
      </w:r>
      <w:r w:rsidRPr="00911626">
        <w:t xml:space="preserve">measure to assess a given domain. Typically assessed for both convergent and discriminate construct validity. Convergent = does </w:t>
      </w:r>
      <w:r w:rsidR="00253B7C">
        <w:t xml:space="preserve">the </w:t>
      </w:r>
      <w:r w:rsidRPr="00911626">
        <w:t xml:space="preserve">scale correlate with measures of theoretically associated domains? Discriminate = </w:t>
      </w:r>
      <w:r w:rsidR="00E626EF">
        <w:t xml:space="preserve">the </w:t>
      </w:r>
      <w:r w:rsidRPr="00911626">
        <w:t xml:space="preserve">scale </w:t>
      </w:r>
      <w:r w:rsidR="00E626EF" w:rsidRPr="00911626">
        <w:t xml:space="preserve">does </w:t>
      </w:r>
      <w:r w:rsidRPr="00911626">
        <w:t>not correlate with measures of theoretically associated domains. Typically assessed with multi</w:t>
      </w:r>
      <w:r>
        <w:t>-</w:t>
      </w:r>
      <w:r w:rsidRPr="00911626">
        <w:t>trait-multi</w:t>
      </w:r>
      <w:r>
        <w:t>-</w:t>
      </w:r>
      <w:r w:rsidRPr="00911626">
        <w:t>method analysis.</w:t>
      </w:r>
    </w:p>
    <w:p w:rsidR="00736DD6" w:rsidRPr="00911626" w:rsidRDefault="00736DD6" w:rsidP="00C1212C">
      <w:pPr>
        <w:spacing w:after="120"/>
      </w:pPr>
    </w:p>
    <w:p w:rsidR="00C1212C" w:rsidRPr="00911626" w:rsidRDefault="00C1212C" w:rsidP="00736DD6">
      <w:pPr>
        <w:ind w:left="720"/>
      </w:pPr>
      <w:r w:rsidRPr="00911626">
        <w:t>2.b. Factor validity – A form of construct validity that estimates adequacy in providing domain-pure assessments. Typically assessed with exploratory factor analysis and confirmatory factor analysis.</w:t>
      </w:r>
    </w:p>
    <w:p w:rsidR="00C1212C" w:rsidRPr="00911626" w:rsidRDefault="00C1212C" w:rsidP="00736DD6">
      <w:pPr>
        <w:widowControl w:val="0"/>
        <w:tabs>
          <w:tab w:val="left" w:pos="940"/>
          <w:tab w:val="left" w:pos="1440"/>
        </w:tabs>
        <w:adjustRightInd w:val="0"/>
      </w:pPr>
      <w:r w:rsidRPr="00911626">
        <w:tab/>
        <w:t>Construct validity may be influenced by group characteristics</w:t>
      </w:r>
    </w:p>
    <w:p w:rsidR="00C1212C" w:rsidRPr="00911626" w:rsidRDefault="00C1212C" w:rsidP="00C1212C">
      <w:pPr>
        <w:spacing w:after="120"/>
      </w:pPr>
      <w:r w:rsidRPr="00911626">
        <w:t xml:space="preserve">3. Criterion related validity – Estimation of correlation between </w:t>
      </w:r>
      <w:r w:rsidR="000A1FB7">
        <w:t xml:space="preserve">a </w:t>
      </w:r>
      <w:r w:rsidRPr="00911626">
        <w:t>measured scale and externally assessed “gold standard.” Typically assessed with correlation coefficient, Etta, receiver-operator characteristics analysis.</w:t>
      </w:r>
    </w:p>
    <w:p w:rsidR="00736DD6" w:rsidRDefault="00736DD6" w:rsidP="00C1212C">
      <w:pPr>
        <w:spacing w:after="120"/>
        <w:ind w:left="720"/>
      </w:pPr>
    </w:p>
    <w:p w:rsidR="00C1212C" w:rsidRPr="00911626" w:rsidRDefault="00C1212C" w:rsidP="00736DD6">
      <w:pPr>
        <w:ind w:left="720"/>
      </w:pPr>
      <w:r w:rsidRPr="00911626">
        <w:t>3.b. Predictive validity – A form of criterion validity that provides an estimation of a measure’s ability to predict criterion behaviors external to the measuring instrument.  Typically assessed with correlation coefficient, Etta, logistic regression.</w:t>
      </w:r>
    </w:p>
    <w:p w:rsidR="00C1212C" w:rsidRPr="00911626" w:rsidRDefault="00C1212C" w:rsidP="00736DD6">
      <w:pPr>
        <w:widowControl w:val="0"/>
        <w:tabs>
          <w:tab w:val="left" w:pos="940"/>
          <w:tab w:val="left" w:pos="1440"/>
        </w:tabs>
        <w:adjustRightInd w:val="0"/>
      </w:pPr>
      <w:r w:rsidRPr="00911626">
        <w:tab/>
        <w:t>Criterion validity may be influenced by group characteristics</w:t>
      </w:r>
    </w:p>
    <w:p w:rsidR="00C1212C" w:rsidRPr="00911626" w:rsidRDefault="00C1212C" w:rsidP="00736DD6">
      <w:r w:rsidRPr="00911626">
        <w:t>4. Sensitivity to change – Estimation of the measure’s sensitivity to changes in the criterion behaviors. Typically assessed using the minimal clinically important change (MCIC) method with ROC analyses.</w:t>
      </w:r>
    </w:p>
    <w:p w:rsidR="00C1212C" w:rsidRPr="00911626" w:rsidRDefault="00C1212C" w:rsidP="00736DD6">
      <w:r w:rsidRPr="00911626">
        <w:tab/>
        <w:t>May be influenced by group characteristics</w:t>
      </w:r>
    </w:p>
    <w:p w:rsidR="006C3DC7" w:rsidRPr="008816FE" w:rsidRDefault="006C3DC7" w:rsidP="008816FE">
      <w:pPr>
        <w:spacing w:after="0" w:line="240" w:lineRule="auto"/>
        <w:ind w:left="720"/>
        <w:rPr>
          <w:rFonts w:ascii="Times New Roman" w:hAnsi="Times New Roman"/>
          <w:sz w:val="20"/>
          <w:szCs w:val="20"/>
        </w:rPr>
      </w:pPr>
    </w:p>
    <w:sectPr w:rsidR="006C3DC7" w:rsidRPr="008816FE" w:rsidSect="00C1212C">
      <w:pgSz w:w="12240" w:h="15840"/>
      <w:pgMar w:top="1440" w:right="45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6A3" w:rsidRDefault="001176A3" w:rsidP="005669AE">
      <w:pPr>
        <w:spacing w:after="0" w:line="240" w:lineRule="auto"/>
      </w:pPr>
      <w:r>
        <w:separator/>
      </w:r>
    </w:p>
  </w:endnote>
  <w:endnote w:type="continuationSeparator" w:id="0">
    <w:p w:rsidR="001176A3" w:rsidRDefault="001176A3" w:rsidP="0056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6A3" w:rsidRDefault="001176A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419B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419B8">
      <w:rPr>
        <w:b/>
        <w:noProof/>
      </w:rPr>
      <w:t>6</w:t>
    </w:r>
    <w:r>
      <w:rPr>
        <w:b/>
        <w:sz w:val="24"/>
        <w:szCs w:val="24"/>
      </w:rPr>
      <w:fldChar w:fldCharType="end"/>
    </w:r>
  </w:p>
  <w:p w:rsidR="001176A3" w:rsidRDefault="00117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6A3" w:rsidRDefault="001176A3" w:rsidP="00BB11B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419B8">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419B8">
      <w:rPr>
        <w:b/>
        <w:noProof/>
      </w:rPr>
      <w:t>6</w:t>
    </w:r>
    <w:r>
      <w:rPr>
        <w:b/>
        <w:sz w:val="24"/>
        <w:szCs w:val="24"/>
      </w:rPr>
      <w:fldChar w:fldCharType="end"/>
    </w:r>
  </w:p>
  <w:p w:rsidR="001176A3" w:rsidRDefault="00117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6A3" w:rsidRDefault="001176A3" w:rsidP="005669AE">
      <w:pPr>
        <w:spacing w:after="0" w:line="240" w:lineRule="auto"/>
      </w:pPr>
      <w:r>
        <w:separator/>
      </w:r>
    </w:p>
  </w:footnote>
  <w:footnote w:type="continuationSeparator" w:id="0">
    <w:p w:rsidR="001176A3" w:rsidRDefault="001176A3" w:rsidP="00566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E58F5"/>
    <w:multiLevelType w:val="hybridMultilevel"/>
    <w:tmpl w:val="CA2A3712"/>
    <w:lvl w:ilvl="0" w:tplc="F82AF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5660E3"/>
    <w:multiLevelType w:val="hybridMultilevel"/>
    <w:tmpl w:val="DC88E92C"/>
    <w:lvl w:ilvl="0" w:tplc="0409000F">
      <w:start w:val="1"/>
      <w:numFmt w:val="decimal"/>
      <w:lvlText w:val="%1."/>
      <w:lvlJc w:val="left"/>
      <w:pPr>
        <w:ind w:left="720" w:hanging="360"/>
      </w:pPr>
      <w:rPr>
        <w:rFonts w:hint="default"/>
      </w:rPr>
    </w:lvl>
    <w:lvl w:ilvl="1" w:tplc="CABC1BC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45FC4"/>
    <w:multiLevelType w:val="hybridMultilevel"/>
    <w:tmpl w:val="70480C18"/>
    <w:lvl w:ilvl="0" w:tplc="7A2A337C">
      <w:start w:val="1"/>
      <w:numFmt w:val="bullet"/>
      <w:lvlText w:val=""/>
      <w:lvlJc w:val="left"/>
      <w:pPr>
        <w:tabs>
          <w:tab w:val="num" w:pos="1080"/>
        </w:tabs>
        <w:ind w:left="1080" w:hanging="360"/>
      </w:pPr>
      <w:rPr>
        <w:rFonts w:ascii="Wingdings 2" w:hAnsi="Wingdings 2" w:hint="default"/>
      </w:rPr>
    </w:lvl>
    <w:lvl w:ilvl="1" w:tplc="6E4E092A">
      <w:start w:val="161"/>
      <w:numFmt w:val="bullet"/>
      <w:lvlText w:val=""/>
      <w:lvlJc w:val="left"/>
      <w:pPr>
        <w:tabs>
          <w:tab w:val="num" w:pos="1800"/>
        </w:tabs>
        <w:ind w:left="1800" w:hanging="360"/>
      </w:pPr>
      <w:rPr>
        <w:rFonts w:ascii="Wingdings 2" w:hAnsi="Wingdings 2" w:hint="default"/>
      </w:rPr>
    </w:lvl>
    <w:lvl w:ilvl="2" w:tplc="12A8191E" w:tentative="1">
      <w:start w:val="1"/>
      <w:numFmt w:val="bullet"/>
      <w:lvlText w:val=""/>
      <w:lvlJc w:val="left"/>
      <w:pPr>
        <w:tabs>
          <w:tab w:val="num" w:pos="2520"/>
        </w:tabs>
        <w:ind w:left="2520" w:hanging="360"/>
      </w:pPr>
      <w:rPr>
        <w:rFonts w:ascii="Wingdings 2" w:hAnsi="Wingdings 2" w:hint="default"/>
      </w:rPr>
    </w:lvl>
    <w:lvl w:ilvl="3" w:tplc="D7A800B4" w:tentative="1">
      <w:start w:val="1"/>
      <w:numFmt w:val="bullet"/>
      <w:lvlText w:val=""/>
      <w:lvlJc w:val="left"/>
      <w:pPr>
        <w:tabs>
          <w:tab w:val="num" w:pos="3240"/>
        </w:tabs>
        <w:ind w:left="3240" w:hanging="360"/>
      </w:pPr>
      <w:rPr>
        <w:rFonts w:ascii="Wingdings 2" w:hAnsi="Wingdings 2" w:hint="default"/>
      </w:rPr>
    </w:lvl>
    <w:lvl w:ilvl="4" w:tplc="305218EA" w:tentative="1">
      <w:start w:val="1"/>
      <w:numFmt w:val="bullet"/>
      <w:lvlText w:val=""/>
      <w:lvlJc w:val="left"/>
      <w:pPr>
        <w:tabs>
          <w:tab w:val="num" w:pos="3960"/>
        </w:tabs>
        <w:ind w:left="3960" w:hanging="360"/>
      </w:pPr>
      <w:rPr>
        <w:rFonts w:ascii="Wingdings 2" w:hAnsi="Wingdings 2" w:hint="default"/>
      </w:rPr>
    </w:lvl>
    <w:lvl w:ilvl="5" w:tplc="3774D288" w:tentative="1">
      <w:start w:val="1"/>
      <w:numFmt w:val="bullet"/>
      <w:lvlText w:val=""/>
      <w:lvlJc w:val="left"/>
      <w:pPr>
        <w:tabs>
          <w:tab w:val="num" w:pos="4680"/>
        </w:tabs>
        <w:ind w:left="4680" w:hanging="360"/>
      </w:pPr>
      <w:rPr>
        <w:rFonts w:ascii="Wingdings 2" w:hAnsi="Wingdings 2" w:hint="default"/>
      </w:rPr>
    </w:lvl>
    <w:lvl w:ilvl="6" w:tplc="4878831E" w:tentative="1">
      <w:start w:val="1"/>
      <w:numFmt w:val="bullet"/>
      <w:lvlText w:val=""/>
      <w:lvlJc w:val="left"/>
      <w:pPr>
        <w:tabs>
          <w:tab w:val="num" w:pos="5400"/>
        </w:tabs>
        <w:ind w:left="5400" w:hanging="360"/>
      </w:pPr>
      <w:rPr>
        <w:rFonts w:ascii="Wingdings 2" w:hAnsi="Wingdings 2" w:hint="default"/>
      </w:rPr>
    </w:lvl>
    <w:lvl w:ilvl="7" w:tplc="75548D5C" w:tentative="1">
      <w:start w:val="1"/>
      <w:numFmt w:val="bullet"/>
      <w:lvlText w:val=""/>
      <w:lvlJc w:val="left"/>
      <w:pPr>
        <w:tabs>
          <w:tab w:val="num" w:pos="6120"/>
        </w:tabs>
        <w:ind w:left="6120" w:hanging="360"/>
      </w:pPr>
      <w:rPr>
        <w:rFonts w:ascii="Wingdings 2" w:hAnsi="Wingdings 2" w:hint="default"/>
      </w:rPr>
    </w:lvl>
    <w:lvl w:ilvl="8" w:tplc="91CA8ED0" w:tentative="1">
      <w:start w:val="1"/>
      <w:numFmt w:val="bullet"/>
      <w:lvlText w:val=""/>
      <w:lvlJc w:val="left"/>
      <w:pPr>
        <w:tabs>
          <w:tab w:val="num" w:pos="6840"/>
        </w:tabs>
        <w:ind w:left="6840" w:hanging="360"/>
      </w:pPr>
      <w:rPr>
        <w:rFonts w:ascii="Wingdings 2" w:hAnsi="Wingdings 2"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49"/>
    <w:rsid w:val="00024478"/>
    <w:rsid w:val="00055394"/>
    <w:rsid w:val="000679EC"/>
    <w:rsid w:val="00092AB5"/>
    <w:rsid w:val="0009653D"/>
    <w:rsid w:val="000A1FB7"/>
    <w:rsid w:val="000B6165"/>
    <w:rsid w:val="000C6C56"/>
    <w:rsid w:val="000E7570"/>
    <w:rsid w:val="001176A3"/>
    <w:rsid w:val="0013542D"/>
    <w:rsid w:val="0014284A"/>
    <w:rsid w:val="00176A5E"/>
    <w:rsid w:val="00184AFC"/>
    <w:rsid w:val="0019102F"/>
    <w:rsid w:val="001A4D33"/>
    <w:rsid w:val="001B5D00"/>
    <w:rsid w:val="001B5DDD"/>
    <w:rsid w:val="001C0E15"/>
    <w:rsid w:val="001D2A82"/>
    <w:rsid w:val="001D6A55"/>
    <w:rsid w:val="001E0CEB"/>
    <w:rsid w:val="001E25CB"/>
    <w:rsid w:val="001E2F1F"/>
    <w:rsid w:val="001F02B2"/>
    <w:rsid w:val="002343CA"/>
    <w:rsid w:val="002361F4"/>
    <w:rsid w:val="00243C12"/>
    <w:rsid w:val="00253B7C"/>
    <w:rsid w:val="00282B91"/>
    <w:rsid w:val="00284DB2"/>
    <w:rsid w:val="002B2D34"/>
    <w:rsid w:val="002F0802"/>
    <w:rsid w:val="00312525"/>
    <w:rsid w:val="00324D12"/>
    <w:rsid w:val="00326A8F"/>
    <w:rsid w:val="0036712C"/>
    <w:rsid w:val="00396DF8"/>
    <w:rsid w:val="0039733C"/>
    <w:rsid w:val="003A0554"/>
    <w:rsid w:val="003A07FD"/>
    <w:rsid w:val="003C004E"/>
    <w:rsid w:val="003D5B02"/>
    <w:rsid w:val="003E14AC"/>
    <w:rsid w:val="003E7166"/>
    <w:rsid w:val="003F2199"/>
    <w:rsid w:val="004305A7"/>
    <w:rsid w:val="004419B8"/>
    <w:rsid w:val="00447654"/>
    <w:rsid w:val="004B2B3F"/>
    <w:rsid w:val="00503320"/>
    <w:rsid w:val="005246FA"/>
    <w:rsid w:val="0053648C"/>
    <w:rsid w:val="0055157C"/>
    <w:rsid w:val="00563D0A"/>
    <w:rsid w:val="005669AE"/>
    <w:rsid w:val="0057591C"/>
    <w:rsid w:val="00585506"/>
    <w:rsid w:val="005B6486"/>
    <w:rsid w:val="005C0975"/>
    <w:rsid w:val="005D6960"/>
    <w:rsid w:val="005E3B97"/>
    <w:rsid w:val="00602035"/>
    <w:rsid w:val="0064101C"/>
    <w:rsid w:val="00650006"/>
    <w:rsid w:val="00692AFA"/>
    <w:rsid w:val="006A2D4C"/>
    <w:rsid w:val="006A441A"/>
    <w:rsid w:val="006A4711"/>
    <w:rsid w:val="006B1A13"/>
    <w:rsid w:val="006B2850"/>
    <w:rsid w:val="006B4B34"/>
    <w:rsid w:val="006C23F7"/>
    <w:rsid w:val="006C3DC7"/>
    <w:rsid w:val="006F3EEE"/>
    <w:rsid w:val="0070676E"/>
    <w:rsid w:val="00710DE3"/>
    <w:rsid w:val="007123C8"/>
    <w:rsid w:val="007177EF"/>
    <w:rsid w:val="00734B55"/>
    <w:rsid w:val="00736DD6"/>
    <w:rsid w:val="0076587E"/>
    <w:rsid w:val="00774C85"/>
    <w:rsid w:val="0077762C"/>
    <w:rsid w:val="00780B3B"/>
    <w:rsid w:val="007853CE"/>
    <w:rsid w:val="007A0C87"/>
    <w:rsid w:val="007A48F6"/>
    <w:rsid w:val="0080341B"/>
    <w:rsid w:val="00820CC0"/>
    <w:rsid w:val="00834B0C"/>
    <w:rsid w:val="008508B1"/>
    <w:rsid w:val="00852B36"/>
    <w:rsid w:val="008627F4"/>
    <w:rsid w:val="00881366"/>
    <w:rsid w:val="008816FE"/>
    <w:rsid w:val="008962D0"/>
    <w:rsid w:val="008B045E"/>
    <w:rsid w:val="008D2F9A"/>
    <w:rsid w:val="00905559"/>
    <w:rsid w:val="009224C2"/>
    <w:rsid w:val="009261CD"/>
    <w:rsid w:val="00961566"/>
    <w:rsid w:val="00971368"/>
    <w:rsid w:val="009A3949"/>
    <w:rsid w:val="009D12C0"/>
    <w:rsid w:val="009D3771"/>
    <w:rsid w:val="00A119D6"/>
    <w:rsid w:val="00A42667"/>
    <w:rsid w:val="00A5532B"/>
    <w:rsid w:val="00A63E4F"/>
    <w:rsid w:val="00A753F5"/>
    <w:rsid w:val="00A90736"/>
    <w:rsid w:val="00AA52CC"/>
    <w:rsid w:val="00AA7A4D"/>
    <w:rsid w:val="00AE73A8"/>
    <w:rsid w:val="00B15BDA"/>
    <w:rsid w:val="00B22A74"/>
    <w:rsid w:val="00B5381C"/>
    <w:rsid w:val="00B64A26"/>
    <w:rsid w:val="00B72C45"/>
    <w:rsid w:val="00B81A6F"/>
    <w:rsid w:val="00BB11BC"/>
    <w:rsid w:val="00BE2050"/>
    <w:rsid w:val="00BE3B42"/>
    <w:rsid w:val="00C1212C"/>
    <w:rsid w:val="00C528DF"/>
    <w:rsid w:val="00CC4DE4"/>
    <w:rsid w:val="00CD65B8"/>
    <w:rsid w:val="00CE427A"/>
    <w:rsid w:val="00D7133F"/>
    <w:rsid w:val="00DB4D1C"/>
    <w:rsid w:val="00DD3CB4"/>
    <w:rsid w:val="00DF0E66"/>
    <w:rsid w:val="00E03549"/>
    <w:rsid w:val="00E04E8C"/>
    <w:rsid w:val="00E251C5"/>
    <w:rsid w:val="00E26139"/>
    <w:rsid w:val="00E40022"/>
    <w:rsid w:val="00E439BC"/>
    <w:rsid w:val="00E4550B"/>
    <w:rsid w:val="00E541CF"/>
    <w:rsid w:val="00E626EF"/>
    <w:rsid w:val="00E66389"/>
    <w:rsid w:val="00EC18DF"/>
    <w:rsid w:val="00F10BAB"/>
    <w:rsid w:val="00F2070C"/>
    <w:rsid w:val="00F455CF"/>
    <w:rsid w:val="00F56C5D"/>
    <w:rsid w:val="00F57F7C"/>
    <w:rsid w:val="00F94550"/>
    <w:rsid w:val="00FA1F0D"/>
    <w:rsid w:val="00FA6BF9"/>
    <w:rsid w:val="00FB6551"/>
    <w:rsid w:val="00FC477B"/>
    <w:rsid w:val="00FE23CD"/>
    <w:rsid w:val="00FF4F8E"/>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FD533FA-3123-43AA-9386-A73B2EF2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2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477B"/>
    <w:pPr>
      <w:ind w:left="720"/>
      <w:contextualSpacing/>
    </w:pPr>
  </w:style>
  <w:style w:type="character" w:styleId="Hyperlink">
    <w:name w:val="Hyperlink"/>
    <w:basedOn w:val="DefaultParagraphFont"/>
    <w:uiPriority w:val="99"/>
    <w:rsid w:val="002B2D34"/>
    <w:rPr>
      <w:rFonts w:cs="Times New Roman"/>
      <w:color w:val="0000FF"/>
      <w:u w:val="single"/>
    </w:rPr>
  </w:style>
  <w:style w:type="paragraph" w:styleId="BalloonText">
    <w:name w:val="Balloon Text"/>
    <w:basedOn w:val="Normal"/>
    <w:link w:val="BalloonTextChar"/>
    <w:uiPriority w:val="99"/>
    <w:semiHidden/>
    <w:rsid w:val="001E0CEB"/>
    <w:rPr>
      <w:rFonts w:ascii="Lucida Grande" w:hAnsi="Lucida Grande"/>
      <w:sz w:val="18"/>
      <w:szCs w:val="18"/>
    </w:rPr>
  </w:style>
  <w:style w:type="character" w:customStyle="1" w:styleId="BalloonTextChar">
    <w:name w:val="Balloon Text Char"/>
    <w:basedOn w:val="DefaultParagraphFont"/>
    <w:link w:val="BalloonText"/>
    <w:uiPriority w:val="99"/>
    <w:semiHidden/>
    <w:rsid w:val="004F2861"/>
    <w:rPr>
      <w:rFonts w:ascii="Lucida Grande" w:hAnsi="Lucida Grande"/>
      <w:sz w:val="18"/>
      <w:szCs w:val="18"/>
    </w:rPr>
  </w:style>
  <w:style w:type="paragraph" w:styleId="Header">
    <w:name w:val="header"/>
    <w:basedOn w:val="Normal"/>
    <w:link w:val="HeaderChar"/>
    <w:uiPriority w:val="99"/>
    <w:unhideWhenUsed/>
    <w:rsid w:val="00566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9AE"/>
    <w:rPr>
      <w:sz w:val="22"/>
      <w:szCs w:val="22"/>
    </w:rPr>
  </w:style>
  <w:style w:type="paragraph" w:styleId="Footer">
    <w:name w:val="footer"/>
    <w:basedOn w:val="Normal"/>
    <w:link w:val="FooterChar"/>
    <w:uiPriority w:val="99"/>
    <w:unhideWhenUsed/>
    <w:rsid w:val="00566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9AE"/>
    <w:rPr>
      <w:sz w:val="22"/>
      <w:szCs w:val="22"/>
    </w:rPr>
  </w:style>
  <w:style w:type="paragraph" w:styleId="Caption">
    <w:name w:val="caption"/>
    <w:basedOn w:val="Normal"/>
    <w:next w:val="Normal"/>
    <w:uiPriority w:val="35"/>
    <w:unhideWhenUsed/>
    <w:qFormat/>
    <w:rsid w:val="008816FE"/>
    <w:rPr>
      <w:b/>
      <w:bCs/>
      <w:sz w:val="20"/>
      <w:szCs w:val="20"/>
    </w:rPr>
  </w:style>
  <w:style w:type="character" w:styleId="CommentReference">
    <w:name w:val="annotation reference"/>
    <w:basedOn w:val="DefaultParagraphFont"/>
    <w:uiPriority w:val="99"/>
    <w:semiHidden/>
    <w:unhideWhenUsed/>
    <w:rsid w:val="00563D0A"/>
    <w:rPr>
      <w:sz w:val="16"/>
      <w:szCs w:val="16"/>
    </w:rPr>
  </w:style>
  <w:style w:type="paragraph" w:styleId="CommentText">
    <w:name w:val="annotation text"/>
    <w:basedOn w:val="Normal"/>
    <w:link w:val="CommentTextChar"/>
    <w:uiPriority w:val="99"/>
    <w:semiHidden/>
    <w:unhideWhenUsed/>
    <w:rsid w:val="00563D0A"/>
    <w:rPr>
      <w:sz w:val="20"/>
      <w:szCs w:val="20"/>
    </w:rPr>
  </w:style>
  <w:style w:type="character" w:customStyle="1" w:styleId="CommentTextChar">
    <w:name w:val="Comment Text Char"/>
    <w:basedOn w:val="DefaultParagraphFont"/>
    <w:link w:val="CommentText"/>
    <w:uiPriority w:val="99"/>
    <w:semiHidden/>
    <w:rsid w:val="00563D0A"/>
  </w:style>
  <w:style w:type="paragraph" w:styleId="CommentSubject">
    <w:name w:val="annotation subject"/>
    <w:basedOn w:val="CommentText"/>
    <w:next w:val="CommentText"/>
    <w:link w:val="CommentSubjectChar"/>
    <w:uiPriority w:val="99"/>
    <w:semiHidden/>
    <w:unhideWhenUsed/>
    <w:rsid w:val="00563D0A"/>
    <w:rPr>
      <w:b/>
      <w:bCs/>
    </w:rPr>
  </w:style>
  <w:style w:type="character" w:customStyle="1" w:styleId="CommentSubjectChar">
    <w:name w:val="Comment Subject Char"/>
    <w:basedOn w:val="CommentTextChar"/>
    <w:link w:val="CommentSubject"/>
    <w:uiPriority w:val="99"/>
    <w:semiHidden/>
    <w:rsid w:val="00563D0A"/>
    <w:rPr>
      <w:b/>
      <w:bCs/>
    </w:rPr>
  </w:style>
  <w:style w:type="paragraph" w:styleId="PlainText">
    <w:name w:val="Plain Text"/>
    <w:basedOn w:val="Normal"/>
    <w:link w:val="PlainTextChar"/>
    <w:uiPriority w:val="99"/>
    <w:semiHidden/>
    <w:unhideWhenUsed/>
    <w:rsid w:val="003C004E"/>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C004E"/>
    <w:rPr>
      <w:rFonts w:ascii="Consolas" w:eastAsiaTheme="minorHAnsi" w:hAnsi="Consolas" w:cstheme="minorBidi"/>
      <w:sz w:val="21"/>
      <w:szCs w:val="21"/>
    </w:rPr>
  </w:style>
  <w:style w:type="paragraph" w:styleId="Revision">
    <w:name w:val="Revision"/>
    <w:hidden/>
    <w:uiPriority w:val="99"/>
    <w:semiHidden/>
    <w:rsid w:val="000679EC"/>
    <w:rPr>
      <w:sz w:val="22"/>
      <w:szCs w:val="22"/>
    </w:rPr>
  </w:style>
  <w:style w:type="paragraph" w:styleId="NormalWeb">
    <w:name w:val="Normal (Web)"/>
    <w:basedOn w:val="Normal"/>
    <w:uiPriority w:val="99"/>
    <w:semiHidden/>
    <w:unhideWhenUsed/>
    <w:rsid w:val="009A39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92514">
      <w:bodyDiv w:val="1"/>
      <w:marLeft w:val="0"/>
      <w:marRight w:val="0"/>
      <w:marTop w:val="0"/>
      <w:marBottom w:val="0"/>
      <w:divBdr>
        <w:top w:val="none" w:sz="0" w:space="0" w:color="auto"/>
        <w:left w:val="none" w:sz="0" w:space="0" w:color="auto"/>
        <w:bottom w:val="none" w:sz="0" w:space="0" w:color="auto"/>
        <w:right w:val="none" w:sz="0" w:space="0" w:color="auto"/>
      </w:divBdr>
    </w:div>
    <w:div w:id="1062406494">
      <w:bodyDiv w:val="1"/>
      <w:marLeft w:val="0"/>
      <w:marRight w:val="0"/>
      <w:marTop w:val="0"/>
      <w:marBottom w:val="0"/>
      <w:divBdr>
        <w:top w:val="none" w:sz="0" w:space="0" w:color="auto"/>
        <w:left w:val="none" w:sz="0" w:space="0" w:color="auto"/>
        <w:bottom w:val="none" w:sz="0" w:space="0" w:color="auto"/>
        <w:right w:val="none" w:sz="0" w:space="0" w:color="auto"/>
      </w:divBdr>
    </w:div>
    <w:div w:id="1121070549">
      <w:bodyDiv w:val="1"/>
      <w:marLeft w:val="0"/>
      <w:marRight w:val="0"/>
      <w:marTop w:val="0"/>
      <w:marBottom w:val="0"/>
      <w:divBdr>
        <w:top w:val="none" w:sz="0" w:space="0" w:color="auto"/>
        <w:left w:val="none" w:sz="0" w:space="0" w:color="auto"/>
        <w:bottom w:val="none" w:sz="0" w:space="0" w:color="auto"/>
        <w:right w:val="none" w:sz="0" w:space="0" w:color="auto"/>
      </w:divBdr>
    </w:div>
    <w:div w:id="20933560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09535A59F394AA50F5FB6CC7868BA" ma:contentTypeVersion="0" ma:contentTypeDescription="Create a new document." ma:contentTypeScope="" ma:versionID="10f099f56f5b17f04b04cb67b599c55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0221AE9-BD76-4F12-A14F-4DBBFBC80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FEC88D5-C2F5-4BAE-824D-94BC8F5DDD8B}">
  <ds:schemaRefs>
    <ds:schemaRef ds:uri="http://schemas.microsoft.com/sharepoint/v3/contenttype/forms"/>
  </ds:schemaRefs>
</ds:datastoreItem>
</file>

<file path=customXml/itemProps3.xml><?xml version="1.0" encoding="utf-8"?>
<ds:datastoreItem xmlns:ds="http://schemas.openxmlformats.org/officeDocument/2006/customXml" ds:itemID="{37E0DF16-1C97-4759-A75C-DB1AD9F94157}">
  <ds:schemaRefs>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Outline for Cognitive CDE</vt:lpstr>
    </vt:vector>
  </TitlesOfParts>
  <Company>Columbia University</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Cognitive CDE</dc:title>
  <dc:creator>Windows User</dc:creator>
  <cp:lastModifiedBy>Robin Feldman</cp:lastModifiedBy>
  <cp:revision>2</cp:revision>
  <dcterms:created xsi:type="dcterms:W3CDTF">2021-02-15T20:27:00Z</dcterms:created>
  <dcterms:modified xsi:type="dcterms:W3CDTF">2021-02-15T20:27:00Z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0x010100B9D98ED9BEA79F458CD6984F6DAA3BF4</vt:lpwstr>
  </property>
</Properties>
</file>