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1BE" w:rsidRPr="0095664E" w:rsidRDefault="00022DE7" w:rsidP="00AC11BE">
      <w:pPr>
        <w:spacing w:after="0" w:line="240" w:lineRule="auto"/>
      </w:pPr>
      <w:r w:rsidRPr="0095664E">
        <w:t>E</w:t>
      </w:r>
      <w:r w:rsidR="00AC11BE" w:rsidRPr="0095664E">
        <w:t xml:space="preserve">lectrophysiology </w:t>
      </w:r>
      <w:r w:rsidRPr="0095664E">
        <w:t>P</w:t>
      </w:r>
      <w:r w:rsidR="00AC11BE" w:rsidRPr="0095664E">
        <w:t>arameters (to be collected for each eye)</w:t>
      </w:r>
    </w:p>
    <w:p w:rsidR="003A5771" w:rsidRDefault="003A5771" w:rsidP="0095664E">
      <w:pPr>
        <w:spacing w:after="360" w:line="240" w:lineRule="auto"/>
        <w:rPr>
          <w:b/>
        </w:rPr>
      </w:pPr>
      <w:r w:rsidRPr="0095664E">
        <w:t>Measurements to be collected in accordance with</w:t>
      </w:r>
      <w:r>
        <w:rPr>
          <w:b/>
        </w:rPr>
        <w:t xml:space="preserve"> </w:t>
      </w:r>
      <w:hyperlink r:id="rId8" w:history="1">
        <w:r w:rsidR="0095664E">
          <w:rPr>
            <w:rStyle w:val="Hyperlink"/>
            <w:b/>
          </w:rPr>
          <w:t>International Society for Clinical Electrophysiology of Vision</w:t>
        </w:r>
      </w:hyperlink>
    </w:p>
    <w:p w:rsidR="00260B73" w:rsidRPr="0095664E" w:rsidRDefault="0095664E" w:rsidP="0095664E">
      <w:pPr>
        <w:pStyle w:val="Heading2"/>
      </w:pPr>
      <w:r w:rsidRPr="0095664E">
        <w:t>P</w:t>
      </w:r>
      <w:r w:rsidR="00260B73" w:rsidRPr="0095664E">
        <w:t>attern VEP</w:t>
      </w:r>
    </w:p>
    <w:p w:rsidR="00260B73" w:rsidRPr="007D460C" w:rsidRDefault="00260B73" w:rsidP="00260B73">
      <w:pPr>
        <w:spacing w:after="0" w:line="240" w:lineRule="auto"/>
        <w:contextualSpacing/>
      </w:pPr>
      <w:r w:rsidRPr="007D460C">
        <w:t>P100 amplitude</w:t>
      </w:r>
      <w:r w:rsidR="007A35AD">
        <w:t xml:space="preserve"> (mean of onset and offset amplitudes</w:t>
      </w:r>
      <w:r w:rsidR="006F6B61">
        <w:t xml:space="preserve">; </w:t>
      </w:r>
      <w:r w:rsidR="006F6B61">
        <w:rPr>
          <w:rFonts w:cs="Arial"/>
        </w:rPr>
        <w:t>µ</w:t>
      </w:r>
      <w:r w:rsidR="006F6B61">
        <w:t>V</w:t>
      </w:r>
      <w:r w:rsidR="007A35AD">
        <w:t>)</w:t>
      </w:r>
    </w:p>
    <w:p w:rsidR="00260B73" w:rsidRDefault="00260B73" w:rsidP="0095664E">
      <w:pPr>
        <w:spacing w:after="120" w:line="240" w:lineRule="auto"/>
      </w:pPr>
      <w:r w:rsidRPr="007D460C">
        <w:t>P100 peak time</w:t>
      </w:r>
      <w:r w:rsidR="006F6B61">
        <w:t xml:space="preserve"> (ms)</w:t>
      </w:r>
    </w:p>
    <w:p w:rsidR="00260B73" w:rsidRPr="007D460C" w:rsidRDefault="00260B73" w:rsidP="0095664E">
      <w:pPr>
        <w:pStyle w:val="Heading2"/>
      </w:pPr>
      <w:r w:rsidRPr="007D460C">
        <w:t>Flash VEP</w:t>
      </w:r>
    </w:p>
    <w:p w:rsidR="00260B73" w:rsidRDefault="00260B73" w:rsidP="00260B73">
      <w:pPr>
        <w:spacing w:after="0" w:line="240" w:lineRule="auto"/>
        <w:contextualSpacing/>
      </w:pPr>
      <w:r>
        <w:t>P2 amplitude</w:t>
      </w:r>
      <w:r w:rsidR="007A35AD">
        <w:t xml:space="preserve"> (mean of onset and offset amplitudes</w:t>
      </w:r>
      <w:r w:rsidR="006F6B61">
        <w:t xml:space="preserve">; </w:t>
      </w:r>
      <w:r w:rsidR="006F6B61">
        <w:rPr>
          <w:rFonts w:cs="Arial"/>
        </w:rPr>
        <w:t>µ</w:t>
      </w:r>
      <w:r w:rsidR="006F6B61">
        <w:t>V)</w:t>
      </w:r>
    </w:p>
    <w:p w:rsidR="00260B73" w:rsidRDefault="00260B73" w:rsidP="0095664E">
      <w:pPr>
        <w:spacing w:after="120" w:line="240" w:lineRule="auto"/>
      </w:pPr>
      <w:r>
        <w:t>P2 peak time</w:t>
      </w:r>
      <w:r w:rsidR="006F6B61">
        <w:t xml:space="preserve"> (ms)</w:t>
      </w:r>
    </w:p>
    <w:p w:rsidR="00260B73" w:rsidRDefault="00260B73" w:rsidP="0095664E">
      <w:pPr>
        <w:pStyle w:val="Heading2"/>
      </w:pPr>
      <w:r w:rsidRPr="007D460C">
        <w:t>PERG</w:t>
      </w:r>
    </w:p>
    <w:p w:rsidR="00260B73" w:rsidRDefault="00260B73" w:rsidP="00260B73">
      <w:pPr>
        <w:spacing w:after="0" w:line="240" w:lineRule="auto"/>
        <w:contextualSpacing/>
      </w:pPr>
      <w:r>
        <w:t>P50 amplitude</w:t>
      </w:r>
      <w:r w:rsidR="006F6B61">
        <w:t xml:space="preserve"> (</w:t>
      </w:r>
      <w:r w:rsidR="006F6B61">
        <w:rPr>
          <w:rFonts w:cs="Arial"/>
        </w:rPr>
        <w:t>µ</w:t>
      </w:r>
      <w:r w:rsidR="006F6B61">
        <w:t>V)</w:t>
      </w:r>
    </w:p>
    <w:p w:rsidR="00260B73" w:rsidRDefault="00260B73" w:rsidP="00260B73">
      <w:pPr>
        <w:spacing w:after="0" w:line="240" w:lineRule="auto"/>
        <w:contextualSpacing/>
      </w:pPr>
      <w:r>
        <w:t>P50 peak time</w:t>
      </w:r>
      <w:r w:rsidR="006F6B61">
        <w:t xml:space="preserve"> (ms)</w:t>
      </w:r>
    </w:p>
    <w:p w:rsidR="00260B73" w:rsidRDefault="00260B73" w:rsidP="0095664E">
      <w:pPr>
        <w:spacing w:after="120" w:line="240" w:lineRule="auto"/>
      </w:pPr>
      <w:r>
        <w:t>N95 amplitude</w:t>
      </w:r>
      <w:r w:rsidR="006F6B61">
        <w:t xml:space="preserve"> (</w:t>
      </w:r>
      <w:r w:rsidR="006F6B61">
        <w:rPr>
          <w:rFonts w:cs="Arial"/>
        </w:rPr>
        <w:t>µ</w:t>
      </w:r>
      <w:r w:rsidR="006F6B61">
        <w:t>V)</w:t>
      </w:r>
    </w:p>
    <w:p w:rsidR="00260B73" w:rsidRDefault="00260B73" w:rsidP="0095664E">
      <w:pPr>
        <w:pStyle w:val="Heading2"/>
        <w:spacing w:after="240"/>
      </w:pPr>
      <w:r w:rsidRPr="007D460C">
        <w:t>Full-field ERG</w:t>
      </w:r>
    </w:p>
    <w:p w:rsidR="00260B73" w:rsidRPr="0095664E" w:rsidRDefault="00260B73" w:rsidP="0095664E">
      <w:pPr>
        <w:pStyle w:val="Heading3"/>
      </w:pPr>
      <w:r w:rsidRPr="0095664E">
        <w:t>DA 0.01</w:t>
      </w:r>
      <w:r w:rsidR="006F6B61" w:rsidRPr="0095664E">
        <w:t xml:space="preserve"> (cd·s·m-2)</w:t>
      </w:r>
    </w:p>
    <w:p w:rsidR="00260B73" w:rsidRDefault="00260B73" w:rsidP="00260B73">
      <w:pPr>
        <w:spacing w:after="0" w:line="240" w:lineRule="auto"/>
      </w:pPr>
      <w:r>
        <w:t>b wave amplitude</w:t>
      </w:r>
      <w:r w:rsidR="006F6B61">
        <w:t xml:space="preserve"> (</w:t>
      </w:r>
      <w:r w:rsidR="006F6B61">
        <w:rPr>
          <w:rFonts w:cs="Arial"/>
        </w:rPr>
        <w:t>µ</w:t>
      </w:r>
      <w:r w:rsidR="006F6B61">
        <w:t>V)</w:t>
      </w:r>
    </w:p>
    <w:p w:rsidR="00260B73" w:rsidRDefault="00260B73" w:rsidP="0095664E">
      <w:pPr>
        <w:spacing w:after="480" w:line="240" w:lineRule="auto"/>
      </w:pPr>
      <w:r>
        <w:t>b wave peak time</w:t>
      </w:r>
      <w:r w:rsidR="006F6B61">
        <w:t xml:space="preserve"> (ms)</w:t>
      </w:r>
    </w:p>
    <w:p w:rsidR="00260B73" w:rsidRPr="006201C1" w:rsidRDefault="00260B73" w:rsidP="0095664E">
      <w:pPr>
        <w:pStyle w:val="Heading3"/>
      </w:pPr>
      <w:r>
        <w:t>DA 10.0</w:t>
      </w:r>
      <w:r w:rsidR="006F6B61">
        <w:t xml:space="preserve"> (</w:t>
      </w:r>
      <w:r w:rsidR="006F6B61" w:rsidRPr="006F6B61">
        <w:t>cd</w:t>
      </w:r>
      <w:r w:rsidR="006F6B61">
        <w:rPr>
          <w:rFonts w:cs="Arial"/>
        </w:rPr>
        <w:t>·</w:t>
      </w:r>
      <w:r w:rsidR="006F6B61" w:rsidRPr="006F6B61">
        <w:t>s</w:t>
      </w:r>
      <w:r w:rsidR="006F6B61">
        <w:rPr>
          <w:rFonts w:cs="Arial"/>
        </w:rPr>
        <w:t>·</w:t>
      </w:r>
      <w:r w:rsidR="006F6B61" w:rsidRPr="006F6B61">
        <w:t>m-2</w:t>
      </w:r>
      <w:r w:rsidR="006F6B61">
        <w:t>)</w:t>
      </w:r>
    </w:p>
    <w:p w:rsidR="00260B73" w:rsidRDefault="00260B73" w:rsidP="00260B73">
      <w:pPr>
        <w:spacing w:after="0" w:line="240" w:lineRule="auto"/>
        <w:contextualSpacing/>
      </w:pPr>
      <w:r>
        <w:t>a wave amplitude</w:t>
      </w:r>
      <w:r w:rsidR="006F6B61">
        <w:t xml:space="preserve"> (</w:t>
      </w:r>
      <w:r w:rsidR="006F6B61">
        <w:rPr>
          <w:rFonts w:cs="Arial"/>
        </w:rPr>
        <w:t>µ</w:t>
      </w:r>
      <w:r w:rsidR="006F6B61">
        <w:t>V)</w:t>
      </w:r>
    </w:p>
    <w:p w:rsidR="00260B73" w:rsidRDefault="00260B73" w:rsidP="00260B73">
      <w:pPr>
        <w:spacing w:after="0" w:line="240" w:lineRule="auto"/>
        <w:contextualSpacing/>
      </w:pPr>
      <w:r>
        <w:t>a wave peak time</w:t>
      </w:r>
      <w:r w:rsidR="006F6B61">
        <w:t xml:space="preserve"> (ms)</w:t>
      </w:r>
    </w:p>
    <w:p w:rsidR="00260B73" w:rsidRDefault="00260B73" w:rsidP="00260B73">
      <w:pPr>
        <w:spacing w:after="0" w:line="240" w:lineRule="auto"/>
        <w:contextualSpacing/>
      </w:pPr>
      <w:r>
        <w:t>b wave amplitude</w:t>
      </w:r>
      <w:r w:rsidR="006F6B61">
        <w:t xml:space="preserve"> (</w:t>
      </w:r>
      <w:r w:rsidR="006F6B61">
        <w:rPr>
          <w:rFonts w:cs="Arial"/>
        </w:rPr>
        <w:t>µ</w:t>
      </w:r>
      <w:r w:rsidR="006F6B61">
        <w:t>V)</w:t>
      </w:r>
    </w:p>
    <w:p w:rsidR="00260B73" w:rsidRDefault="00260B73" w:rsidP="0095664E">
      <w:pPr>
        <w:spacing w:after="240" w:line="240" w:lineRule="auto"/>
      </w:pPr>
      <w:r>
        <w:t>b wave peak time</w:t>
      </w:r>
      <w:r w:rsidR="006F6B61">
        <w:t xml:space="preserve"> (ms)</w:t>
      </w:r>
    </w:p>
    <w:p w:rsidR="00260B73" w:rsidRPr="006201C1" w:rsidRDefault="00260B73" w:rsidP="0095664E">
      <w:pPr>
        <w:pStyle w:val="Heading3"/>
      </w:pPr>
      <w:r>
        <w:t xml:space="preserve">LA </w:t>
      </w:r>
      <w:r w:rsidRPr="006201C1">
        <w:t>30Hz flicker</w:t>
      </w:r>
    </w:p>
    <w:p w:rsidR="00260B73" w:rsidRDefault="00260B73" w:rsidP="00260B73">
      <w:pPr>
        <w:spacing w:after="0" w:line="240" w:lineRule="auto"/>
        <w:contextualSpacing/>
      </w:pPr>
      <w:r>
        <w:t>Peak amplitude</w:t>
      </w:r>
      <w:r w:rsidR="006F6B61">
        <w:t xml:space="preserve"> (</w:t>
      </w:r>
      <w:r w:rsidR="006F6B61">
        <w:rPr>
          <w:rFonts w:cs="Arial"/>
        </w:rPr>
        <w:t>µ</w:t>
      </w:r>
      <w:r w:rsidR="006F6B61">
        <w:t>V)</w:t>
      </w:r>
    </w:p>
    <w:p w:rsidR="00260B73" w:rsidRDefault="00260B73" w:rsidP="0095664E">
      <w:pPr>
        <w:spacing w:after="240" w:line="240" w:lineRule="auto"/>
      </w:pPr>
      <w:r>
        <w:t>Peak time</w:t>
      </w:r>
      <w:r w:rsidR="006F6B61">
        <w:t xml:space="preserve"> (ms)</w:t>
      </w:r>
    </w:p>
    <w:p w:rsidR="00260B73" w:rsidRPr="006201C1" w:rsidRDefault="00260B73" w:rsidP="0095664E">
      <w:pPr>
        <w:pStyle w:val="Heading3"/>
      </w:pPr>
      <w:r>
        <w:t>LA 3.0</w:t>
      </w:r>
      <w:r w:rsidR="006F6B61">
        <w:t xml:space="preserve"> (</w:t>
      </w:r>
      <w:r w:rsidR="006F6B61" w:rsidRPr="006F6B61">
        <w:t>cd</w:t>
      </w:r>
      <w:r w:rsidR="006F6B61">
        <w:rPr>
          <w:rFonts w:cs="Arial"/>
        </w:rPr>
        <w:t>·</w:t>
      </w:r>
      <w:r w:rsidR="006F6B61" w:rsidRPr="006F6B61">
        <w:t>s</w:t>
      </w:r>
      <w:r w:rsidR="006F6B61">
        <w:rPr>
          <w:rFonts w:cs="Arial"/>
        </w:rPr>
        <w:t>·</w:t>
      </w:r>
      <w:r w:rsidR="006F6B61" w:rsidRPr="006F6B61">
        <w:t>m-2</w:t>
      </w:r>
      <w:r w:rsidR="006F6B61">
        <w:t>)</w:t>
      </w:r>
    </w:p>
    <w:p w:rsidR="00260B73" w:rsidRDefault="00260B73" w:rsidP="00260B73">
      <w:pPr>
        <w:spacing w:after="0" w:line="240" w:lineRule="auto"/>
        <w:contextualSpacing/>
      </w:pPr>
      <w:r>
        <w:t>a wave amplitude</w:t>
      </w:r>
      <w:r w:rsidR="006F6B61">
        <w:t xml:space="preserve"> (</w:t>
      </w:r>
      <w:r w:rsidR="006F6B61">
        <w:rPr>
          <w:rFonts w:cs="Arial"/>
        </w:rPr>
        <w:t>µ</w:t>
      </w:r>
      <w:r w:rsidR="006F6B61">
        <w:t>V)</w:t>
      </w:r>
    </w:p>
    <w:p w:rsidR="00260B73" w:rsidRDefault="00260B73" w:rsidP="00260B73">
      <w:pPr>
        <w:spacing w:after="0" w:line="240" w:lineRule="auto"/>
        <w:contextualSpacing/>
      </w:pPr>
      <w:r>
        <w:t>a wave peak time</w:t>
      </w:r>
      <w:r w:rsidR="006F6B61">
        <w:t xml:space="preserve"> (ms)</w:t>
      </w:r>
    </w:p>
    <w:p w:rsidR="00260B73" w:rsidRDefault="00260B73" w:rsidP="00260B73">
      <w:pPr>
        <w:spacing w:after="0" w:line="240" w:lineRule="auto"/>
        <w:contextualSpacing/>
      </w:pPr>
      <w:r>
        <w:t>b wave amplitude</w:t>
      </w:r>
      <w:r w:rsidR="006F6B61">
        <w:t xml:space="preserve"> (</w:t>
      </w:r>
      <w:r w:rsidR="006F6B61">
        <w:rPr>
          <w:rFonts w:cs="Arial"/>
        </w:rPr>
        <w:t>µ</w:t>
      </w:r>
      <w:r w:rsidR="006F6B61">
        <w:t>V)</w:t>
      </w:r>
    </w:p>
    <w:p w:rsidR="009F6C2B" w:rsidRPr="006F3026" w:rsidRDefault="00260B73" w:rsidP="00495015">
      <w:pPr>
        <w:spacing w:after="0" w:line="240" w:lineRule="auto"/>
        <w:contextualSpacing/>
      </w:pPr>
      <w:r>
        <w:t>b wave peak time</w:t>
      </w:r>
      <w:r w:rsidR="006F6B61">
        <w:t xml:space="preserve"> (ms)</w:t>
      </w:r>
      <w:r w:rsidR="00495015" w:rsidRPr="006F3026">
        <w:t xml:space="preserve"> </w:t>
      </w:r>
      <w:bookmarkStart w:id="0" w:name="_GoBack"/>
      <w:bookmarkEnd w:id="0"/>
    </w:p>
    <w:sectPr w:rsidR="009F6C2B" w:rsidRPr="006F3026" w:rsidSect="00256F5C">
      <w:headerReference w:type="default" r:id="rId9"/>
      <w:footerReference w:type="default" r:id="rId10"/>
      <w:pgSz w:w="12240" w:h="15840"/>
      <w:pgMar w:top="720" w:right="720" w:bottom="108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152" w:rsidRDefault="00585152" w:rsidP="0006483F">
      <w:pPr>
        <w:spacing w:after="0" w:line="240" w:lineRule="auto"/>
      </w:pPr>
      <w:r>
        <w:separator/>
      </w:r>
    </w:p>
  </w:endnote>
  <w:endnote w:type="continuationSeparator" w:id="0">
    <w:p w:rsidR="00585152" w:rsidRDefault="00585152" w:rsidP="0006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015" w:rsidRPr="006F3026" w:rsidRDefault="00495015" w:rsidP="00495015">
    <w:pPr>
      <w:pStyle w:val="Footer"/>
      <w:tabs>
        <w:tab w:val="clear" w:pos="4680"/>
        <w:tab w:val="clear" w:pos="9360"/>
        <w:tab w:val="right" w:pos="10080"/>
      </w:tabs>
      <w:rPr>
        <w:rFonts w:cs="Arial"/>
      </w:rPr>
    </w:pPr>
    <w:r>
      <w:rPr>
        <w:rFonts w:cs="Arial"/>
      </w:rPr>
      <w:t>Mitochondrial Disease</w:t>
    </w:r>
    <w:r w:rsidRPr="006F3026">
      <w:rPr>
        <w:rFonts w:cs="Arial"/>
      </w:rPr>
      <w:t xml:space="preserve"> Version </w:t>
    </w:r>
    <w:r w:rsidR="0095664E">
      <w:rPr>
        <w:rFonts w:cs="Arial"/>
      </w:rPr>
      <w:t>1.0</w:t>
    </w:r>
    <w:r w:rsidR="0095664E">
      <w:rPr>
        <w:rFonts w:cs="Arial"/>
      </w:rPr>
      <w:tab/>
    </w:r>
    <w:r w:rsidR="0095664E" w:rsidRPr="0095664E">
      <w:rPr>
        <w:rFonts w:cs="Arial"/>
      </w:rPr>
      <w:t xml:space="preserve">Page </w:t>
    </w:r>
    <w:r w:rsidR="0095664E" w:rsidRPr="0095664E">
      <w:rPr>
        <w:rFonts w:cs="Arial"/>
        <w:bCs/>
      </w:rPr>
      <w:fldChar w:fldCharType="begin"/>
    </w:r>
    <w:r w:rsidR="0095664E" w:rsidRPr="0095664E">
      <w:rPr>
        <w:rFonts w:cs="Arial"/>
        <w:bCs/>
      </w:rPr>
      <w:instrText xml:space="preserve"> PAGE  \* Arabic  \* MERGEFORMAT </w:instrText>
    </w:r>
    <w:r w:rsidR="0095664E" w:rsidRPr="0095664E">
      <w:rPr>
        <w:rFonts w:cs="Arial"/>
        <w:bCs/>
      </w:rPr>
      <w:fldChar w:fldCharType="separate"/>
    </w:r>
    <w:r w:rsidR="0095664E">
      <w:rPr>
        <w:rFonts w:cs="Arial"/>
        <w:bCs/>
        <w:noProof/>
      </w:rPr>
      <w:t>1</w:t>
    </w:r>
    <w:r w:rsidR="0095664E" w:rsidRPr="0095664E">
      <w:rPr>
        <w:rFonts w:cs="Arial"/>
        <w:bCs/>
      </w:rPr>
      <w:fldChar w:fldCharType="end"/>
    </w:r>
    <w:r w:rsidR="0095664E" w:rsidRPr="0095664E">
      <w:rPr>
        <w:rFonts w:cs="Arial"/>
      </w:rPr>
      <w:t xml:space="preserve"> of </w:t>
    </w:r>
    <w:r w:rsidR="0095664E" w:rsidRPr="0095664E">
      <w:rPr>
        <w:rFonts w:cs="Arial"/>
        <w:bCs/>
      </w:rPr>
      <w:fldChar w:fldCharType="begin"/>
    </w:r>
    <w:r w:rsidR="0095664E" w:rsidRPr="0095664E">
      <w:rPr>
        <w:rFonts w:cs="Arial"/>
        <w:bCs/>
      </w:rPr>
      <w:instrText xml:space="preserve"> NUMPAGES  \* Arabic  \* MERGEFORMAT </w:instrText>
    </w:r>
    <w:r w:rsidR="0095664E" w:rsidRPr="0095664E">
      <w:rPr>
        <w:rFonts w:cs="Arial"/>
        <w:bCs/>
      </w:rPr>
      <w:fldChar w:fldCharType="separate"/>
    </w:r>
    <w:r w:rsidR="0095664E">
      <w:rPr>
        <w:rFonts w:cs="Arial"/>
        <w:bCs/>
        <w:noProof/>
      </w:rPr>
      <w:t>1</w:t>
    </w:r>
    <w:r w:rsidR="0095664E" w:rsidRPr="0095664E">
      <w:rPr>
        <w:rFonts w:cs="Arial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152" w:rsidRDefault="00585152" w:rsidP="0006483F">
      <w:pPr>
        <w:spacing w:after="0" w:line="240" w:lineRule="auto"/>
      </w:pPr>
      <w:r>
        <w:separator/>
      </w:r>
    </w:p>
  </w:footnote>
  <w:footnote w:type="continuationSeparator" w:id="0">
    <w:p w:rsidR="00585152" w:rsidRDefault="00585152" w:rsidP="0006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152" w:rsidRPr="00EA0E1E" w:rsidRDefault="00585152" w:rsidP="00D064BE">
    <w:pPr>
      <w:pStyle w:val="Heading1"/>
    </w:pPr>
    <w:r w:rsidRPr="00D064BE">
      <w:t xml:space="preserve">Visual </w:t>
    </w:r>
    <w:r w:rsidR="00E719E1">
      <w:t>E</w:t>
    </w:r>
    <w:r w:rsidRPr="00D064BE">
      <w:t>lectrophysiology</w:t>
    </w:r>
    <w:r>
      <w:t xml:space="preserve"> Instructions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C6701"/>
    <w:multiLevelType w:val="hybridMultilevel"/>
    <w:tmpl w:val="B9A0D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A64E5"/>
    <w:multiLevelType w:val="hybridMultilevel"/>
    <w:tmpl w:val="258275A4"/>
    <w:lvl w:ilvl="0" w:tplc="A7CA86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C0C7D"/>
    <w:multiLevelType w:val="hybridMultilevel"/>
    <w:tmpl w:val="A50C3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27008"/>
    <w:multiLevelType w:val="hybridMultilevel"/>
    <w:tmpl w:val="B15C93F4"/>
    <w:lvl w:ilvl="0" w:tplc="5D68CA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C45E1"/>
    <w:multiLevelType w:val="hybridMultilevel"/>
    <w:tmpl w:val="B9A0D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B3B12"/>
    <w:multiLevelType w:val="hybridMultilevel"/>
    <w:tmpl w:val="258275A4"/>
    <w:lvl w:ilvl="0" w:tplc="A7CA86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22F44"/>
    <w:multiLevelType w:val="hybridMultilevel"/>
    <w:tmpl w:val="374CBBBA"/>
    <w:lvl w:ilvl="0" w:tplc="A7CA86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A0C225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E35EB"/>
    <w:multiLevelType w:val="hybridMultilevel"/>
    <w:tmpl w:val="B9A0D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483F"/>
    <w:rsid w:val="00007597"/>
    <w:rsid w:val="00022DE7"/>
    <w:rsid w:val="000365CC"/>
    <w:rsid w:val="000470B3"/>
    <w:rsid w:val="0006483F"/>
    <w:rsid w:val="0006634E"/>
    <w:rsid w:val="00095BBD"/>
    <w:rsid w:val="000A354E"/>
    <w:rsid w:val="000E1BFF"/>
    <w:rsid w:val="00105D39"/>
    <w:rsid w:val="00115D1F"/>
    <w:rsid w:val="00122B3A"/>
    <w:rsid w:val="001479F2"/>
    <w:rsid w:val="001C6506"/>
    <w:rsid w:val="001E0529"/>
    <w:rsid w:val="001F6279"/>
    <w:rsid w:val="001F73A2"/>
    <w:rsid w:val="00236B85"/>
    <w:rsid w:val="00256F5C"/>
    <w:rsid w:val="00260B73"/>
    <w:rsid w:val="00277821"/>
    <w:rsid w:val="002845A0"/>
    <w:rsid w:val="002D4BF0"/>
    <w:rsid w:val="002E275A"/>
    <w:rsid w:val="00313DA7"/>
    <w:rsid w:val="003228EB"/>
    <w:rsid w:val="0035242F"/>
    <w:rsid w:val="00364179"/>
    <w:rsid w:val="0038102B"/>
    <w:rsid w:val="003A5771"/>
    <w:rsid w:val="003D790B"/>
    <w:rsid w:val="003E3B96"/>
    <w:rsid w:val="003E55AB"/>
    <w:rsid w:val="0043712C"/>
    <w:rsid w:val="00444577"/>
    <w:rsid w:val="0046002D"/>
    <w:rsid w:val="004907E3"/>
    <w:rsid w:val="00495015"/>
    <w:rsid w:val="004E687E"/>
    <w:rsid w:val="004F4159"/>
    <w:rsid w:val="00517ECF"/>
    <w:rsid w:val="00565F49"/>
    <w:rsid w:val="00585152"/>
    <w:rsid w:val="005972F2"/>
    <w:rsid w:val="005A7C0B"/>
    <w:rsid w:val="005C6971"/>
    <w:rsid w:val="005D1ADA"/>
    <w:rsid w:val="00642C5A"/>
    <w:rsid w:val="00645262"/>
    <w:rsid w:val="00645D16"/>
    <w:rsid w:val="00645E47"/>
    <w:rsid w:val="00672C2D"/>
    <w:rsid w:val="00673C95"/>
    <w:rsid w:val="00680D56"/>
    <w:rsid w:val="00683A7F"/>
    <w:rsid w:val="006A4883"/>
    <w:rsid w:val="006C2CC0"/>
    <w:rsid w:val="006F3026"/>
    <w:rsid w:val="006F4D8E"/>
    <w:rsid w:val="006F5CD5"/>
    <w:rsid w:val="006F6B61"/>
    <w:rsid w:val="00706825"/>
    <w:rsid w:val="00751380"/>
    <w:rsid w:val="00762C93"/>
    <w:rsid w:val="007767BD"/>
    <w:rsid w:val="00785793"/>
    <w:rsid w:val="007A35AD"/>
    <w:rsid w:val="007B0A75"/>
    <w:rsid w:val="007D7547"/>
    <w:rsid w:val="00804AEE"/>
    <w:rsid w:val="00821E22"/>
    <w:rsid w:val="0082465A"/>
    <w:rsid w:val="00830463"/>
    <w:rsid w:val="00845116"/>
    <w:rsid w:val="00853A35"/>
    <w:rsid w:val="00854B76"/>
    <w:rsid w:val="00855202"/>
    <w:rsid w:val="0089796A"/>
    <w:rsid w:val="008B35D8"/>
    <w:rsid w:val="008B6877"/>
    <w:rsid w:val="008C668E"/>
    <w:rsid w:val="00900C94"/>
    <w:rsid w:val="00937C66"/>
    <w:rsid w:val="00947695"/>
    <w:rsid w:val="0095664E"/>
    <w:rsid w:val="00984F3A"/>
    <w:rsid w:val="009C0616"/>
    <w:rsid w:val="009D7DE4"/>
    <w:rsid w:val="009E2818"/>
    <w:rsid w:val="009E5BBC"/>
    <w:rsid w:val="009F6C2B"/>
    <w:rsid w:val="00A02E4D"/>
    <w:rsid w:val="00A36C88"/>
    <w:rsid w:val="00A67B0D"/>
    <w:rsid w:val="00AA40EF"/>
    <w:rsid w:val="00AB26B6"/>
    <w:rsid w:val="00AC11BE"/>
    <w:rsid w:val="00AD6A9B"/>
    <w:rsid w:val="00B06AC2"/>
    <w:rsid w:val="00B15B1A"/>
    <w:rsid w:val="00B23EC2"/>
    <w:rsid w:val="00B949CA"/>
    <w:rsid w:val="00BC3673"/>
    <w:rsid w:val="00BD6DD7"/>
    <w:rsid w:val="00C06747"/>
    <w:rsid w:val="00C10024"/>
    <w:rsid w:val="00C55BF8"/>
    <w:rsid w:val="00C60400"/>
    <w:rsid w:val="00C74863"/>
    <w:rsid w:val="00CD1737"/>
    <w:rsid w:val="00CD4BF6"/>
    <w:rsid w:val="00D0010E"/>
    <w:rsid w:val="00D00ECA"/>
    <w:rsid w:val="00D04002"/>
    <w:rsid w:val="00D0453F"/>
    <w:rsid w:val="00D064BE"/>
    <w:rsid w:val="00D138E0"/>
    <w:rsid w:val="00D408C7"/>
    <w:rsid w:val="00D9017F"/>
    <w:rsid w:val="00DE02C8"/>
    <w:rsid w:val="00E153B1"/>
    <w:rsid w:val="00E3099A"/>
    <w:rsid w:val="00E315B9"/>
    <w:rsid w:val="00E3372D"/>
    <w:rsid w:val="00E66A5B"/>
    <w:rsid w:val="00E719E1"/>
    <w:rsid w:val="00E80008"/>
    <w:rsid w:val="00EA0E1E"/>
    <w:rsid w:val="00EB42BA"/>
    <w:rsid w:val="00EF5B9E"/>
    <w:rsid w:val="00F14D5C"/>
    <w:rsid w:val="00F14E18"/>
    <w:rsid w:val="00F74ED3"/>
    <w:rsid w:val="00F775C6"/>
    <w:rsid w:val="00FA3820"/>
    <w:rsid w:val="00FB0892"/>
    <w:rsid w:val="00FE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F3A22703-BC22-404F-89DD-B4EADFA6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026"/>
    <w:pPr>
      <w:spacing w:after="20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664E"/>
    <w:pPr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664E"/>
    <w:pPr>
      <w:spacing w:after="0" w:line="240" w:lineRule="auto"/>
      <w:contextualSpacing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664E"/>
    <w:pPr>
      <w:spacing w:after="0" w:line="240" w:lineRule="auto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4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83F"/>
  </w:style>
  <w:style w:type="paragraph" w:styleId="Footer">
    <w:name w:val="footer"/>
    <w:basedOn w:val="Normal"/>
    <w:link w:val="FooterChar"/>
    <w:uiPriority w:val="99"/>
    <w:unhideWhenUsed/>
    <w:rsid w:val="00064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83F"/>
  </w:style>
  <w:style w:type="character" w:styleId="PageNumber">
    <w:name w:val="page number"/>
    <w:basedOn w:val="DefaultParagraphFont"/>
    <w:rsid w:val="0006483F"/>
  </w:style>
  <w:style w:type="paragraph" w:styleId="ListParagraph">
    <w:name w:val="List Paragraph"/>
    <w:basedOn w:val="Normal"/>
    <w:uiPriority w:val="34"/>
    <w:qFormat/>
    <w:rsid w:val="0006483F"/>
    <w:pPr>
      <w:ind w:left="720"/>
      <w:contextualSpacing/>
    </w:pPr>
  </w:style>
  <w:style w:type="table" w:styleId="TableGrid">
    <w:name w:val="Table Grid"/>
    <w:basedOn w:val="TableNormal"/>
    <w:uiPriority w:val="59"/>
    <w:rsid w:val="000648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4511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DE02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2C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2C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2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E02C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02C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95664E"/>
    <w:rPr>
      <w:rFonts w:ascii="Arial" w:hAnsi="Arial"/>
      <w:b/>
      <w:sz w:val="28"/>
      <w:szCs w:val="28"/>
    </w:rPr>
  </w:style>
  <w:style w:type="character" w:customStyle="1" w:styleId="Heading2Char">
    <w:name w:val="Heading 2 Char"/>
    <w:link w:val="Heading2"/>
    <w:uiPriority w:val="9"/>
    <w:rsid w:val="0095664E"/>
    <w:rPr>
      <w:rFonts w:ascii="Arial" w:hAnsi="Arial"/>
      <w:b/>
      <w:sz w:val="24"/>
      <w:szCs w:val="22"/>
      <w:u w:val="single"/>
    </w:rPr>
  </w:style>
  <w:style w:type="character" w:customStyle="1" w:styleId="Heading3Char">
    <w:name w:val="Heading 3 Char"/>
    <w:link w:val="Heading3"/>
    <w:uiPriority w:val="9"/>
    <w:rsid w:val="0095664E"/>
    <w:rPr>
      <w:rFonts w:ascii="Arial" w:hAnsi="Arial"/>
      <w:b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35242F"/>
    <w:pPr>
      <w:spacing w:line="240" w:lineRule="auto"/>
    </w:pPr>
    <w:rPr>
      <w:b/>
      <w:iCs/>
      <w:szCs w:val="18"/>
    </w:rPr>
  </w:style>
  <w:style w:type="table" w:customStyle="1" w:styleId="TableGridLight1">
    <w:name w:val="Table Grid Light1"/>
    <w:basedOn w:val="TableNormal"/>
    <w:uiPriority w:val="40"/>
    <w:rsid w:val="0035242F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9566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cev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18B2B-08F3-4155-ADC4-7AF1002D0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 Analysis-Stratus Retinal Thickness Report</vt:lpstr>
    </vt:vector>
  </TitlesOfParts>
  <Company>Altarum Institute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 Analysis-Stratus Retinal Thickness Report</dc:title>
  <dc:subject>CRF</dc:subject>
  <dc:creator>NINDS</dc:creator>
  <cp:keywords>NINDS, CRF, OCT Analysis-Stratus Retinal Thickness Report</cp:keywords>
  <cp:lastModifiedBy>Andy Franklin</cp:lastModifiedBy>
  <cp:revision>8</cp:revision>
  <cp:lastPrinted>2012-02-29T16:34:00Z</cp:lastPrinted>
  <dcterms:created xsi:type="dcterms:W3CDTF">2014-09-02T15:51:00Z</dcterms:created>
  <dcterms:modified xsi:type="dcterms:W3CDTF">2015-03-03T16:58:00Z</dcterms:modified>
  <cp:category>CRF</cp:category>
  <cp:contentStatus>508 Compliant</cp:contentStatus>
</cp:coreProperties>
</file>