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3FA" w:rsidRDefault="000B23FA" w:rsidP="000B23FA">
      <w:pPr>
        <w:pStyle w:val="Caption"/>
        <w:keepNext/>
      </w:pPr>
      <w:r>
        <w:t xml:space="preserve">Table </w:t>
      </w:r>
      <w:fldSimple w:instr=" SEQ Table \* ARABIC ">
        <w:r w:rsidR="00B4267B">
          <w:rPr>
            <w:noProof/>
          </w:rPr>
          <w:t>1</w:t>
        </w:r>
      </w:fldSimple>
      <w:r>
        <w:t xml:space="preserve"> </w:t>
      </w:r>
      <w:r w:rsidRPr="00F97058">
        <w:t>Diabetes Diagnostic evaluation, including oral glucose tolerance test (OGTT).</w:t>
      </w:r>
    </w:p>
    <w:tbl>
      <w:tblPr>
        <w:tblW w:w="98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97"/>
        <w:gridCol w:w="3756"/>
        <w:gridCol w:w="1244"/>
        <w:gridCol w:w="1708"/>
      </w:tblGrid>
      <w:tr w:rsidR="007F73EE" w:rsidRPr="00DA2165" w:rsidTr="00DC57A0">
        <w:trPr>
          <w:cantSplit/>
          <w:tblHeader/>
        </w:trPr>
        <w:tc>
          <w:tcPr>
            <w:tcW w:w="3097" w:type="dxa"/>
            <w:tcBorders>
              <w:bottom w:val="single" w:sz="4" w:space="0" w:color="000000"/>
            </w:tcBorders>
            <w:shd w:val="clear" w:color="auto" w:fill="auto"/>
          </w:tcPr>
          <w:p w:rsidR="007F73EE" w:rsidRPr="008A5211" w:rsidRDefault="007F73EE" w:rsidP="00E43811">
            <w:pPr>
              <w:spacing w:before="0" w:after="0"/>
              <w:jc w:val="center"/>
              <w:rPr>
                <w:rFonts w:cs="Arial"/>
              </w:rPr>
            </w:pPr>
            <w:r w:rsidRPr="008A5211">
              <w:rPr>
                <w:rFonts w:cs="Arial"/>
              </w:rPr>
              <w:t>CDE</w:t>
            </w:r>
          </w:p>
        </w:tc>
        <w:tc>
          <w:tcPr>
            <w:tcW w:w="3756" w:type="dxa"/>
            <w:tcBorders>
              <w:bottom w:val="single" w:sz="4" w:space="0" w:color="000000"/>
            </w:tcBorders>
            <w:shd w:val="clear" w:color="auto" w:fill="auto"/>
          </w:tcPr>
          <w:p w:rsidR="007F73EE" w:rsidRPr="008A5211" w:rsidRDefault="007F73EE" w:rsidP="00E43811">
            <w:pPr>
              <w:spacing w:before="0" w:after="0"/>
              <w:jc w:val="center"/>
              <w:rPr>
                <w:rFonts w:cs="Arial"/>
              </w:rPr>
            </w:pPr>
            <w:r w:rsidRPr="008A5211">
              <w:rPr>
                <w:rFonts w:cs="Arial"/>
              </w:rPr>
              <w:t>General Comments</w:t>
            </w:r>
          </w:p>
        </w:tc>
        <w:tc>
          <w:tcPr>
            <w:tcW w:w="1244" w:type="dxa"/>
            <w:tcBorders>
              <w:bottom w:val="single" w:sz="4" w:space="0" w:color="000000"/>
            </w:tcBorders>
            <w:shd w:val="clear" w:color="auto" w:fill="auto"/>
          </w:tcPr>
          <w:p w:rsidR="007F73EE" w:rsidRPr="008A5211" w:rsidRDefault="007F73EE" w:rsidP="00E43811">
            <w:pPr>
              <w:spacing w:before="0" w:after="0"/>
              <w:jc w:val="center"/>
              <w:rPr>
                <w:rFonts w:cs="Arial"/>
              </w:rPr>
            </w:pPr>
            <w:r w:rsidRPr="008A5211">
              <w:rPr>
                <w:rFonts w:cs="Arial"/>
              </w:rPr>
              <w:t>Purpose</w:t>
            </w:r>
          </w:p>
        </w:tc>
        <w:tc>
          <w:tcPr>
            <w:tcW w:w="1708" w:type="dxa"/>
            <w:tcBorders>
              <w:bottom w:val="single" w:sz="4" w:space="0" w:color="000000"/>
            </w:tcBorders>
            <w:shd w:val="clear" w:color="auto" w:fill="auto"/>
          </w:tcPr>
          <w:p w:rsidR="007F73EE" w:rsidRPr="008A5211" w:rsidRDefault="007F73EE" w:rsidP="00E43811">
            <w:pPr>
              <w:spacing w:before="0" w:after="0"/>
              <w:jc w:val="center"/>
              <w:rPr>
                <w:rFonts w:cs="Arial"/>
              </w:rPr>
            </w:pPr>
            <w:r w:rsidRPr="008A5211">
              <w:rPr>
                <w:rFonts w:cs="Arial"/>
              </w:rPr>
              <w:t>Classification</w:t>
            </w:r>
          </w:p>
        </w:tc>
      </w:tr>
      <w:tr w:rsidR="00822C23" w:rsidRPr="00DA2165" w:rsidTr="00DC57A0">
        <w:trPr>
          <w:cantSplit/>
        </w:trPr>
        <w:tc>
          <w:tcPr>
            <w:tcW w:w="3097" w:type="dxa"/>
            <w:shd w:val="clear" w:color="auto" w:fill="auto"/>
            <w:vAlign w:val="center"/>
          </w:tcPr>
          <w:p w:rsidR="00822C23" w:rsidRPr="00DA2165" w:rsidRDefault="004831E6" w:rsidP="00B671A8">
            <w:pPr>
              <w:spacing w:before="0" w:after="0"/>
              <w:rPr>
                <w:rFonts w:cs="Arial"/>
              </w:rPr>
            </w:pPr>
            <w:proofErr w:type="spellStart"/>
            <w:r>
              <w:rPr>
                <w:rFonts w:cs="Arial"/>
              </w:rPr>
              <w:t>Glycosylated</w:t>
            </w:r>
            <w:proofErr w:type="spellEnd"/>
            <w:r>
              <w:rPr>
                <w:rFonts w:cs="Arial"/>
              </w:rPr>
              <w:t xml:space="preserve"> Hemoglobin (</w:t>
            </w:r>
            <w:r w:rsidR="00822C23">
              <w:rPr>
                <w:rFonts w:cs="Arial"/>
              </w:rPr>
              <w:t>Hemoglobin A1c</w:t>
            </w:r>
            <w:r>
              <w:rPr>
                <w:rFonts w:cs="Arial"/>
              </w:rPr>
              <w:t>)</w:t>
            </w:r>
          </w:p>
        </w:tc>
        <w:tc>
          <w:tcPr>
            <w:tcW w:w="3756" w:type="dxa"/>
            <w:shd w:val="clear" w:color="auto" w:fill="auto"/>
            <w:vAlign w:val="center"/>
          </w:tcPr>
          <w:p w:rsidR="00822C23" w:rsidRPr="00DA2165" w:rsidRDefault="008E0F58" w:rsidP="00B671A8">
            <w:pPr>
              <w:spacing w:before="0" w:after="0"/>
              <w:rPr>
                <w:rFonts w:cs="Arial"/>
              </w:rPr>
            </w:pPr>
            <w:r>
              <w:rPr>
                <w:rFonts w:cs="Arial"/>
              </w:rPr>
              <w:t xml:space="preserve">%, performed using a method certified by the National </w:t>
            </w:r>
            <w:proofErr w:type="spellStart"/>
            <w:r>
              <w:rPr>
                <w:rFonts w:cs="Arial"/>
              </w:rPr>
              <w:t>Glycohemoglobin</w:t>
            </w:r>
            <w:proofErr w:type="spellEnd"/>
            <w:r>
              <w:rPr>
                <w:rFonts w:cs="Arial"/>
              </w:rPr>
              <w:t xml:space="preserve"> Standardization Program (NGSP) and </w:t>
            </w:r>
            <w:proofErr w:type="spellStart"/>
            <w:r>
              <w:rPr>
                <w:rFonts w:cs="Arial"/>
              </w:rPr>
              <w:t>standardizable</w:t>
            </w:r>
            <w:proofErr w:type="spellEnd"/>
            <w:r>
              <w:rPr>
                <w:rFonts w:cs="Arial"/>
              </w:rPr>
              <w:t xml:space="preserve"> to the Diabetes Control and Complications Trial (DCCT) reference.</w:t>
            </w:r>
            <w:r w:rsidR="00A82DF1" w:rsidRPr="00654B83">
              <w:rPr>
                <w:rFonts w:cs="Arial"/>
                <w:b/>
                <w:vertAlign w:val="superscript"/>
              </w:rPr>
              <w:t>1</w:t>
            </w:r>
          </w:p>
        </w:tc>
        <w:tc>
          <w:tcPr>
            <w:tcW w:w="1244" w:type="dxa"/>
            <w:shd w:val="clear" w:color="auto" w:fill="auto"/>
            <w:vAlign w:val="center"/>
          </w:tcPr>
          <w:p w:rsidR="00822C23" w:rsidRPr="00DA2165" w:rsidRDefault="00822C23" w:rsidP="00B671A8">
            <w:pPr>
              <w:spacing w:before="0" w:after="0"/>
              <w:rPr>
                <w:rFonts w:cs="Arial"/>
              </w:rPr>
            </w:pPr>
            <w:r>
              <w:rPr>
                <w:rFonts w:cs="Arial"/>
              </w:rPr>
              <w:t>Diagnosis, Monitoring</w:t>
            </w:r>
          </w:p>
        </w:tc>
        <w:tc>
          <w:tcPr>
            <w:tcW w:w="1708" w:type="dxa"/>
            <w:shd w:val="clear" w:color="auto" w:fill="auto"/>
            <w:vAlign w:val="center"/>
          </w:tcPr>
          <w:p w:rsidR="00822C23" w:rsidRPr="00DA2165" w:rsidRDefault="00DC57A0" w:rsidP="00B671A8">
            <w:pPr>
              <w:spacing w:before="0" w:after="0"/>
              <w:rPr>
                <w:rFonts w:cs="Arial"/>
              </w:rPr>
            </w:pPr>
            <w:r>
              <w:rPr>
                <w:rFonts w:cs="Arial"/>
              </w:rPr>
              <w:t>Supplemental - Highly Recommended</w:t>
            </w:r>
          </w:p>
        </w:tc>
      </w:tr>
      <w:tr w:rsidR="00DC57A0" w:rsidRPr="00DA2165" w:rsidTr="00DC57A0">
        <w:trPr>
          <w:cantSplit/>
        </w:trPr>
        <w:tc>
          <w:tcPr>
            <w:tcW w:w="3097" w:type="dxa"/>
            <w:shd w:val="clear" w:color="auto" w:fill="auto"/>
            <w:vAlign w:val="center"/>
          </w:tcPr>
          <w:p w:rsidR="00DC57A0" w:rsidRPr="00DA2165" w:rsidRDefault="00DC57A0" w:rsidP="00B671A8">
            <w:pPr>
              <w:spacing w:before="0" w:after="0"/>
              <w:rPr>
                <w:rFonts w:cs="Arial"/>
              </w:rPr>
            </w:pPr>
            <w:r>
              <w:rPr>
                <w:rFonts w:cs="Arial"/>
              </w:rPr>
              <w:t xml:space="preserve">Anti-pancreatic </w:t>
            </w:r>
            <w:proofErr w:type="spellStart"/>
            <w:r>
              <w:rPr>
                <w:rFonts w:cs="Arial"/>
              </w:rPr>
              <w:t>autoantibodies</w:t>
            </w:r>
            <w:proofErr w:type="spellEnd"/>
          </w:p>
        </w:tc>
        <w:tc>
          <w:tcPr>
            <w:tcW w:w="3756" w:type="dxa"/>
            <w:shd w:val="clear" w:color="auto" w:fill="auto"/>
            <w:vAlign w:val="center"/>
          </w:tcPr>
          <w:p w:rsidR="00DC57A0" w:rsidRPr="00DA2165" w:rsidRDefault="00DC57A0" w:rsidP="00A82DF1">
            <w:pPr>
              <w:spacing w:before="0" w:after="0"/>
              <w:rPr>
                <w:rFonts w:cs="Arial"/>
              </w:rPr>
            </w:pPr>
            <w:r>
              <w:rPr>
                <w:rFonts w:cs="Arial"/>
              </w:rPr>
              <w:t>Test for available diabetes-related autoimmunity (can include GAD 65, IA2, insulin).</w:t>
            </w:r>
            <w:r w:rsidRPr="00654B83">
              <w:rPr>
                <w:rFonts w:cs="Arial"/>
                <w:b/>
                <w:bCs/>
                <w:vertAlign w:val="superscript"/>
              </w:rPr>
              <w:t>2,3</w:t>
            </w:r>
          </w:p>
        </w:tc>
        <w:tc>
          <w:tcPr>
            <w:tcW w:w="1244" w:type="dxa"/>
            <w:shd w:val="clear" w:color="auto" w:fill="auto"/>
            <w:vAlign w:val="center"/>
          </w:tcPr>
          <w:p w:rsidR="00DC57A0" w:rsidRPr="00DA2165" w:rsidRDefault="00DC57A0" w:rsidP="00B671A8">
            <w:pPr>
              <w:spacing w:before="0" w:after="0"/>
              <w:rPr>
                <w:rFonts w:cs="Arial"/>
              </w:rPr>
            </w:pPr>
            <w:r>
              <w:rPr>
                <w:rFonts w:cs="Arial"/>
              </w:rPr>
              <w:t>Diagnosis</w:t>
            </w:r>
          </w:p>
        </w:tc>
        <w:tc>
          <w:tcPr>
            <w:tcW w:w="1708" w:type="dxa"/>
            <w:shd w:val="clear" w:color="auto" w:fill="auto"/>
            <w:vAlign w:val="center"/>
          </w:tcPr>
          <w:p w:rsidR="00DC57A0" w:rsidRPr="00DA2165" w:rsidRDefault="00DC57A0" w:rsidP="00BA4610">
            <w:pPr>
              <w:spacing w:before="0" w:after="0"/>
              <w:rPr>
                <w:rFonts w:cs="Arial"/>
              </w:rPr>
            </w:pPr>
            <w:r>
              <w:rPr>
                <w:rFonts w:cs="Arial"/>
              </w:rPr>
              <w:t>Supplemental - Highly Recommended</w:t>
            </w:r>
          </w:p>
        </w:tc>
      </w:tr>
      <w:tr w:rsidR="00DC57A0" w:rsidRPr="00DA2165" w:rsidTr="00DC57A0">
        <w:trPr>
          <w:cantSplit/>
        </w:trPr>
        <w:tc>
          <w:tcPr>
            <w:tcW w:w="3097" w:type="dxa"/>
            <w:shd w:val="clear" w:color="auto" w:fill="auto"/>
            <w:vAlign w:val="center"/>
          </w:tcPr>
          <w:p w:rsidR="00DC57A0" w:rsidRPr="00DA2165" w:rsidRDefault="00DC57A0" w:rsidP="00C5626A">
            <w:pPr>
              <w:spacing w:before="0" w:after="0"/>
              <w:rPr>
                <w:rFonts w:cs="Arial"/>
              </w:rPr>
            </w:pPr>
            <w:r>
              <w:rPr>
                <w:rFonts w:cs="Arial"/>
              </w:rPr>
              <w:t>Fasting g</w:t>
            </w:r>
            <w:r w:rsidRPr="00DA2165">
              <w:rPr>
                <w:rFonts w:cs="Arial"/>
              </w:rPr>
              <w:t>lucose</w:t>
            </w:r>
          </w:p>
        </w:tc>
        <w:tc>
          <w:tcPr>
            <w:tcW w:w="3756" w:type="dxa"/>
            <w:shd w:val="clear" w:color="auto" w:fill="auto"/>
            <w:vAlign w:val="center"/>
          </w:tcPr>
          <w:p w:rsidR="00DC57A0" w:rsidRPr="00DA2165" w:rsidRDefault="00DC57A0" w:rsidP="00B671A8">
            <w:pPr>
              <w:spacing w:before="0" w:after="0"/>
              <w:rPr>
                <w:rFonts w:cs="Arial"/>
              </w:rPr>
            </w:pPr>
            <w:r w:rsidRPr="00DA2165">
              <w:rPr>
                <w:rFonts w:cs="Arial"/>
              </w:rPr>
              <w:t>Measured in mg/</w:t>
            </w:r>
            <w:proofErr w:type="spellStart"/>
            <w:r w:rsidRPr="00DA2165">
              <w:rPr>
                <w:rFonts w:cs="Arial"/>
              </w:rPr>
              <w:t>dL</w:t>
            </w:r>
            <w:proofErr w:type="spellEnd"/>
            <w:r>
              <w:rPr>
                <w:rFonts w:cs="Arial"/>
              </w:rPr>
              <w:t xml:space="preserve"> (U.S.) or </w:t>
            </w:r>
            <w:proofErr w:type="spellStart"/>
            <w:r>
              <w:rPr>
                <w:rFonts w:cs="Arial"/>
              </w:rPr>
              <w:t>mmol</w:t>
            </w:r>
            <w:proofErr w:type="spellEnd"/>
            <w:r>
              <w:rPr>
                <w:rFonts w:cs="Arial"/>
              </w:rPr>
              <w:t>/L (outside U.S.)</w:t>
            </w:r>
          </w:p>
        </w:tc>
        <w:tc>
          <w:tcPr>
            <w:tcW w:w="1244" w:type="dxa"/>
            <w:shd w:val="clear" w:color="auto" w:fill="auto"/>
            <w:vAlign w:val="center"/>
          </w:tcPr>
          <w:p w:rsidR="00DC57A0" w:rsidRPr="00DA2165" w:rsidRDefault="00DC57A0" w:rsidP="00B671A8">
            <w:pPr>
              <w:spacing w:before="0" w:after="0"/>
              <w:rPr>
                <w:rFonts w:cs="Arial"/>
              </w:rPr>
            </w:pPr>
            <w:r>
              <w:rPr>
                <w:rFonts w:cs="Arial"/>
              </w:rPr>
              <w:t>Diagnosis</w:t>
            </w:r>
          </w:p>
        </w:tc>
        <w:tc>
          <w:tcPr>
            <w:tcW w:w="1708" w:type="dxa"/>
            <w:shd w:val="clear" w:color="auto" w:fill="auto"/>
            <w:vAlign w:val="center"/>
          </w:tcPr>
          <w:p w:rsidR="00DC57A0" w:rsidRPr="00DA2165" w:rsidRDefault="00DC57A0" w:rsidP="00BA4610">
            <w:pPr>
              <w:spacing w:before="0" w:after="0"/>
              <w:rPr>
                <w:rFonts w:cs="Arial"/>
              </w:rPr>
            </w:pPr>
            <w:r>
              <w:rPr>
                <w:rFonts w:cs="Arial"/>
              </w:rPr>
              <w:t>Supplemental - Highly Recommended</w:t>
            </w:r>
          </w:p>
        </w:tc>
      </w:tr>
      <w:tr w:rsidR="00DC57A0" w:rsidRPr="00DA2165" w:rsidTr="00DC57A0">
        <w:trPr>
          <w:cantSplit/>
        </w:trPr>
        <w:tc>
          <w:tcPr>
            <w:tcW w:w="3097" w:type="dxa"/>
            <w:shd w:val="clear" w:color="auto" w:fill="auto"/>
            <w:vAlign w:val="center"/>
          </w:tcPr>
          <w:p w:rsidR="00DC57A0" w:rsidRDefault="00DC57A0" w:rsidP="004831E6">
            <w:pPr>
              <w:spacing w:before="0" w:after="0"/>
              <w:rPr>
                <w:rFonts w:cs="Arial"/>
              </w:rPr>
            </w:pPr>
            <w:r>
              <w:rPr>
                <w:rFonts w:cs="Arial"/>
              </w:rPr>
              <w:t>2-hour glucose (OGTT)</w:t>
            </w:r>
          </w:p>
        </w:tc>
        <w:tc>
          <w:tcPr>
            <w:tcW w:w="3756" w:type="dxa"/>
            <w:shd w:val="clear" w:color="auto" w:fill="auto"/>
            <w:vAlign w:val="center"/>
          </w:tcPr>
          <w:p w:rsidR="00DC57A0" w:rsidRPr="00DA2165" w:rsidRDefault="00DC57A0" w:rsidP="00B671A8">
            <w:pPr>
              <w:spacing w:before="0" w:after="0"/>
              <w:rPr>
                <w:rFonts w:cs="Arial"/>
              </w:rPr>
            </w:pPr>
            <w:r w:rsidRPr="00DA2165">
              <w:rPr>
                <w:rFonts w:cs="Arial"/>
              </w:rPr>
              <w:t>Measured in mg/</w:t>
            </w:r>
            <w:proofErr w:type="spellStart"/>
            <w:r w:rsidRPr="00DA2165">
              <w:rPr>
                <w:rFonts w:cs="Arial"/>
              </w:rPr>
              <w:t>dL</w:t>
            </w:r>
            <w:proofErr w:type="spellEnd"/>
            <w:r>
              <w:rPr>
                <w:rFonts w:cs="Arial"/>
              </w:rPr>
              <w:t xml:space="preserve"> (U.S.) or </w:t>
            </w:r>
            <w:proofErr w:type="spellStart"/>
            <w:r>
              <w:rPr>
                <w:rFonts w:cs="Arial"/>
              </w:rPr>
              <w:t>mmol</w:t>
            </w:r>
            <w:proofErr w:type="spellEnd"/>
            <w:r>
              <w:rPr>
                <w:rFonts w:cs="Arial"/>
              </w:rPr>
              <w:t>/L (outside U.S.)</w:t>
            </w:r>
          </w:p>
        </w:tc>
        <w:tc>
          <w:tcPr>
            <w:tcW w:w="1244" w:type="dxa"/>
            <w:shd w:val="clear" w:color="auto" w:fill="auto"/>
            <w:vAlign w:val="center"/>
          </w:tcPr>
          <w:p w:rsidR="00DC57A0" w:rsidRPr="00DA2165" w:rsidRDefault="00DC57A0" w:rsidP="00A56742">
            <w:pPr>
              <w:spacing w:before="0" w:after="0"/>
              <w:rPr>
                <w:rFonts w:cs="Arial"/>
              </w:rPr>
            </w:pPr>
            <w:r>
              <w:rPr>
                <w:rFonts w:cs="Arial"/>
              </w:rPr>
              <w:t>Diagnosis</w:t>
            </w:r>
          </w:p>
        </w:tc>
        <w:tc>
          <w:tcPr>
            <w:tcW w:w="1708" w:type="dxa"/>
            <w:shd w:val="clear" w:color="auto" w:fill="auto"/>
            <w:vAlign w:val="center"/>
          </w:tcPr>
          <w:p w:rsidR="00DC57A0" w:rsidRPr="00DA2165" w:rsidRDefault="00DC57A0" w:rsidP="00BA4610">
            <w:pPr>
              <w:spacing w:before="0" w:after="0"/>
              <w:rPr>
                <w:rFonts w:cs="Arial"/>
              </w:rPr>
            </w:pPr>
            <w:r>
              <w:rPr>
                <w:rFonts w:cs="Arial"/>
              </w:rPr>
              <w:t>Supplemental - Highly Recommended</w:t>
            </w:r>
          </w:p>
        </w:tc>
      </w:tr>
      <w:tr w:rsidR="000B23FA" w:rsidRPr="00DA2165" w:rsidTr="00BA4610">
        <w:trPr>
          <w:cantSplit/>
        </w:trPr>
        <w:tc>
          <w:tcPr>
            <w:tcW w:w="3097" w:type="dxa"/>
            <w:shd w:val="clear" w:color="auto" w:fill="auto"/>
            <w:vAlign w:val="center"/>
          </w:tcPr>
          <w:p w:rsidR="000B23FA" w:rsidRDefault="000B23FA" w:rsidP="000B23FA">
            <w:pPr>
              <w:spacing w:before="0" w:after="0"/>
              <w:rPr>
                <w:rFonts w:cs="Arial"/>
              </w:rPr>
            </w:pPr>
            <w:r>
              <w:rPr>
                <w:rFonts w:cs="Arial"/>
              </w:rPr>
              <w:t>Fasting insulin</w:t>
            </w:r>
          </w:p>
        </w:tc>
        <w:tc>
          <w:tcPr>
            <w:tcW w:w="3756" w:type="dxa"/>
            <w:shd w:val="clear" w:color="auto" w:fill="auto"/>
          </w:tcPr>
          <w:p w:rsidR="000B23FA" w:rsidRDefault="001D7B0E" w:rsidP="000B23FA">
            <w:proofErr w:type="spellStart"/>
            <w:r>
              <w:t>Meausred</w:t>
            </w:r>
            <w:proofErr w:type="spellEnd"/>
            <w:r>
              <w:t xml:space="preserve"> in </w:t>
            </w:r>
            <w:proofErr w:type="spellStart"/>
            <w:r>
              <w:t>mIU</w:t>
            </w:r>
            <w:proofErr w:type="spellEnd"/>
            <w:r w:rsidR="0005140D">
              <w:t>/</w:t>
            </w:r>
            <w:r>
              <w:t xml:space="preserve">L (U.S.) or </w:t>
            </w:r>
            <w:proofErr w:type="spellStart"/>
            <w:r>
              <w:t>pmol</w:t>
            </w:r>
            <w:proofErr w:type="spellEnd"/>
            <w:r>
              <w:t>/L (outside U.S.)</w:t>
            </w:r>
          </w:p>
        </w:tc>
        <w:tc>
          <w:tcPr>
            <w:tcW w:w="1244" w:type="dxa"/>
            <w:shd w:val="clear" w:color="auto" w:fill="auto"/>
          </w:tcPr>
          <w:p w:rsidR="000B23FA" w:rsidRDefault="006B558F" w:rsidP="000B23FA">
            <w:r>
              <w:rPr>
                <w:rFonts w:cs="Arial"/>
              </w:rPr>
              <w:t>Diagnosis, Monitoring</w:t>
            </w:r>
          </w:p>
        </w:tc>
        <w:tc>
          <w:tcPr>
            <w:tcW w:w="1708" w:type="dxa"/>
            <w:shd w:val="clear" w:color="auto" w:fill="auto"/>
          </w:tcPr>
          <w:p w:rsidR="000B23FA" w:rsidRDefault="00404DAB" w:rsidP="000B23FA">
            <w:r>
              <w:t>Supplemental</w:t>
            </w:r>
          </w:p>
        </w:tc>
      </w:tr>
      <w:tr w:rsidR="000B23FA" w:rsidRPr="00DA2165" w:rsidTr="00BA4610">
        <w:trPr>
          <w:cantSplit/>
        </w:trPr>
        <w:tc>
          <w:tcPr>
            <w:tcW w:w="3097" w:type="dxa"/>
            <w:shd w:val="clear" w:color="auto" w:fill="auto"/>
            <w:vAlign w:val="center"/>
          </w:tcPr>
          <w:p w:rsidR="000B23FA" w:rsidRDefault="000B23FA" w:rsidP="000B23FA">
            <w:pPr>
              <w:spacing w:before="0" w:after="0"/>
              <w:rPr>
                <w:rFonts w:cs="Arial"/>
              </w:rPr>
            </w:pPr>
            <w:r>
              <w:rPr>
                <w:rFonts w:cs="Arial"/>
              </w:rPr>
              <w:t>Fasting C-peptide</w:t>
            </w:r>
          </w:p>
        </w:tc>
        <w:tc>
          <w:tcPr>
            <w:tcW w:w="3756" w:type="dxa"/>
            <w:shd w:val="clear" w:color="auto" w:fill="auto"/>
          </w:tcPr>
          <w:p w:rsidR="000B23FA" w:rsidRDefault="001D7B0E" w:rsidP="000B23FA">
            <w:r>
              <w:t xml:space="preserve">Measured in </w:t>
            </w:r>
            <w:proofErr w:type="spellStart"/>
            <w:r>
              <w:t>ng</w:t>
            </w:r>
            <w:proofErr w:type="spellEnd"/>
            <w:r>
              <w:t>/</w:t>
            </w:r>
            <w:proofErr w:type="spellStart"/>
            <w:r>
              <w:t>mL</w:t>
            </w:r>
            <w:proofErr w:type="spellEnd"/>
            <w:r>
              <w:t xml:space="preserve"> (U.S.) or </w:t>
            </w:r>
            <w:proofErr w:type="spellStart"/>
            <w:r>
              <w:t>nmol</w:t>
            </w:r>
            <w:proofErr w:type="spellEnd"/>
            <w:r>
              <w:t>/L (outside U.S.)</w:t>
            </w:r>
          </w:p>
        </w:tc>
        <w:tc>
          <w:tcPr>
            <w:tcW w:w="1244" w:type="dxa"/>
            <w:shd w:val="clear" w:color="auto" w:fill="auto"/>
          </w:tcPr>
          <w:p w:rsidR="000B23FA" w:rsidRDefault="006B558F" w:rsidP="000B23FA">
            <w:r>
              <w:rPr>
                <w:rFonts w:cs="Arial"/>
              </w:rPr>
              <w:t>Monitoring</w:t>
            </w:r>
          </w:p>
        </w:tc>
        <w:tc>
          <w:tcPr>
            <w:tcW w:w="1708" w:type="dxa"/>
            <w:shd w:val="clear" w:color="auto" w:fill="auto"/>
          </w:tcPr>
          <w:p w:rsidR="000B23FA" w:rsidRDefault="00404DAB" w:rsidP="000B23FA">
            <w:r>
              <w:t>Supplemental</w:t>
            </w:r>
          </w:p>
        </w:tc>
      </w:tr>
    </w:tbl>
    <w:p w:rsidR="000B23FA" w:rsidRDefault="000B23FA" w:rsidP="000B23FA">
      <w:pPr>
        <w:pStyle w:val="Caption"/>
        <w:keepNext/>
      </w:pPr>
      <w:proofErr w:type="gramStart"/>
      <w:r>
        <w:t xml:space="preserve">Table </w:t>
      </w:r>
      <w:r w:rsidR="001A32D7">
        <w:fldChar w:fldCharType="begin"/>
      </w:r>
      <w:r w:rsidR="00F04F28">
        <w:instrText xml:space="preserve"> SEQ Table \* ARABIC </w:instrText>
      </w:r>
      <w:r w:rsidR="001A32D7">
        <w:fldChar w:fldCharType="separate"/>
      </w:r>
      <w:r w:rsidR="00B4267B">
        <w:rPr>
          <w:noProof/>
        </w:rPr>
        <w:t>2</w:t>
      </w:r>
      <w:r w:rsidR="001A32D7">
        <w:fldChar w:fldCharType="end"/>
      </w:r>
      <w:r>
        <w:t xml:space="preserve"> </w:t>
      </w:r>
      <w:r w:rsidRPr="00801A01">
        <w:t xml:space="preserve">Diabetes-related </w:t>
      </w:r>
      <w:proofErr w:type="spellStart"/>
      <w:r w:rsidRPr="00801A01">
        <w:t>comorbidities</w:t>
      </w:r>
      <w:proofErr w:type="spellEnd"/>
      <w:r w:rsidRPr="00801A01">
        <w:t>.</w:t>
      </w:r>
      <w:proofErr w:type="gramEnd"/>
    </w:p>
    <w:tbl>
      <w:tblPr>
        <w:tblW w:w="98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28"/>
        <w:gridCol w:w="3795"/>
        <w:gridCol w:w="1244"/>
        <w:gridCol w:w="1638"/>
      </w:tblGrid>
      <w:tr w:rsidR="004831E6" w:rsidRPr="00DA2165" w:rsidTr="004831E6">
        <w:trPr>
          <w:cantSplit/>
          <w:tblHeader/>
        </w:trPr>
        <w:tc>
          <w:tcPr>
            <w:tcW w:w="3128" w:type="dxa"/>
            <w:tcBorders>
              <w:bottom w:val="single" w:sz="4" w:space="0" w:color="000000"/>
            </w:tcBorders>
            <w:shd w:val="clear" w:color="auto" w:fill="auto"/>
          </w:tcPr>
          <w:p w:rsidR="004831E6" w:rsidRPr="008A5211" w:rsidRDefault="004831E6" w:rsidP="004831E6">
            <w:pPr>
              <w:spacing w:before="0" w:after="0"/>
              <w:jc w:val="center"/>
              <w:rPr>
                <w:rFonts w:cs="Arial"/>
              </w:rPr>
            </w:pPr>
            <w:r w:rsidRPr="008A5211">
              <w:rPr>
                <w:rFonts w:cs="Arial"/>
              </w:rPr>
              <w:t>CDE</w:t>
            </w:r>
          </w:p>
        </w:tc>
        <w:tc>
          <w:tcPr>
            <w:tcW w:w="3795" w:type="dxa"/>
            <w:tcBorders>
              <w:bottom w:val="single" w:sz="4" w:space="0" w:color="000000"/>
            </w:tcBorders>
            <w:shd w:val="clear" w:color="auto" w:fill="auto"/>
          </w:tcPr>
          <w:p w:rsidR="004831E6" w:rsidRPr="008A5211" w:rsidRDefault="004831E6" w:rsidP="004831E6">
            <w:pPr>
              <w:spacing w:before="0" w:after="0"/>
              <w:jc w:val="center"/>
              <w:rPr>
                <w:rFonts w:cs="Arial"/>
              </w:rPr>
            </w:pPr>
            <w:r w:rsidRPr="008A5211">
              <w:rPr>
                <w:rFonts w:cs="Arial"/>
              </w:rPr>
              <w:t>General Comments</w:t>
            </w:r>
          </w:p>
        </w:tc>
        <w:tc>
          <w:tcPr>
            <w:tcW w:w="1244" w:type="dxa"/>
            <w:tcBorders>
              <w:bottom w:val="single" w:sz="4" w:space="0" w:color="000000"/>
            </w:tcBorders>
            <w:shd w:val="clear" w:color="auto" w:fill="auto"/>
          </w:tcPr>
          <w:p w:rsidR="004831E6" w:rsidRPr="008A5211" w:rsidRDefault="004831E6" w:rsidP="004831E6">
            <w:pPr>
              <w:spacing w:before="0" w:after="0"/>
              <w:jc w:val="center"/>
              <w:rPr>
                <w:rFonts w:cs="Arial"/>
              </w:rPr>
            </w:pPr>
            <w:r w:rsidRPr="008A5211">
              <w:rPr>
                <w:rFonts w:cs="Arial"/>
              </w:rPr>
              <w:t>Purpose</w:t>
            </w:r>
          </w:p>
        </w:tc>
        <w:tc>
          <w:tcPr>
            <w:tcW w:w="1638" w:type="dxa"/>
            <w:tcBorders>
              <w:bottom w:val="single" w:sz="4" w:space="0" w:color="000000"/>
            </w:tcBorders>
            <w:shd w:val="clear" w:color="auto" w:fill="auto"/>
          </w:tcPr>
          <w:p w:rsidR="004831E6" w:rsidRPr="008A5211" w:rsidRDefault="004831E6" w:rsidP="004831E6">
            <w:pPr>
              <w:spacing w:before="0" w:after="0"/>
              <w:jc w:val="center"/>
              <w:rPr>
                <w:rFonts w:cs="Arial"/>
              </w:rPr>
            </w:pPr>
            <w:r w:rsidRPr="008A5211">
              <w:rPr>
                <w:rFonts w:cs="Arial"/>
              </w:rPr>
              <w:t>Classification</w:t>
            </w:r>
          </w:p>
        </w:tc>
      </w:tr>
      <w:tr w:rsidR="004831E6" w:rsidRPr="00DA2165" w:rsidTr="004831E6">
        <w:trPr>
          <w:cantSplit/>
        </w:trPr>
        <w:tc>
          <w:tcPr>
            <w:tcW w:w="3128" w:type="dxa"/>
            <w:shd w:val="clear" w:color="auto" w:fill="auto"/>
            <w:vAlign w:val="center"/>
          </w:tcPr>
          <w:p w:rsidR="004831E6" w:rsidRPr="00DA2165" w:rsidRDefault="004831E6" w:rsidP="0052326E">
            <w:pPr>
              <w:spacing w:before="0" w:after="0"/>
              <w:rPr>
                <w:rFonts w:cs="Arial"/>
              </w:rPr>
            </w:pPr>
            <w:r w:rsidRPr="00DA2165">
              <w:rPr>
                <w:rFonts w:cs="Arial"/>
              </w:rPr>
              <w:t>Cholesterol - HDL*</w:t>
            </w:r>
          </w:p>
        </w:tc>
        <w:tc>
          <w:tcPr>
            <w:tcW w:w="3795" w:type="dxa"/>
            <w:shd w:val="clear" w:color="auto" w:fill="auto"/>
            <w:vAlign w:val="center"/>
          </w:tcPr>
          <w:p w:rsidR="004831E6" w:rsidRPr="00DA2165" w:rsidRDefault="004831E6" w:rsidP="004831E6">
            <w:pPr>
              <w:spacing w:before="0" w:after="0"/>
              <w:rPr>
                <w:rFonts w:cs="Arial"/>
              </w:rPr>
            </w:pPr>
            <w:r w:rsidRPr="00DA2165">
              <w:rPr>
                <w:rFonts w:cs="Arial"/>
              </w:rPr>
              <w:t>Measured in mg/</w:t>
            </w:r>
            <w:proofErr w:type="spellStart"/>
            <w:r w:rsidRPr="00DA2165">
              <w:rPr>
                <w:rFonts w:cs="Arial"/>
              </w:rPr>
              <w:t>dL</w:t>
            </w:r>
            <w:proofErr w:type="spellEnd"/>
            <w:r w:rsidRPr="00DA2165">
              <w:rPr>
                <w:rFonts w:cs="Arial"/>
              </w:rPr>
              <w:t xml:space="preserve"> (U.S.) or </w:t>
            </w:r>
            <w:proofErr w:type="spellStart"/>
            <w:r w:rsidRPr="00DA2165">
              <w:rPr>
                <w:rFonts w:cs="Arial"/>
              </w:rPr>
              <w:t>mmol</w:t>
            </w:r>
            <w:proofErr w:type="spellEnd"/>
            <w:r w:rsidRPr="00DA2165">
              <w:rPr>
                <w:rFonts w:cs="Arial"/>
              </w:rPr>
              <w:t>/L (outside U.S.)</w:t>
            </w:r>
          </w:p>
        </w:tc>
        <w:tc>
          <w:tcPr>
            <w:tcW w:w="1244" w:type="dxa"/>
            <w:shd w:val="clear" w:color="auto" w:fill="auto"/>
            <w:vAlign w:val="center"/>
          </w:tcPr>
          <w:p w:rsidR="004831E6" w:rsidRPr="00DA2165" w:rsidRDefault="004831E6" w:rsidP="004831E6">
            <w:pPr>
              <w:spacing w:before="0" w:after="0"/>
              <w:rPr>
                <w:rFonts w:cs="Arial"/>
              </w:rPr>
            </w:pPr>
            <w:r w:rsidRPr="00DA2165">
              <w:rPr>
                <w:rFonts w:cs="Arial"/>
              </w:rPr>
              <w:t>Safety</w:t>
            </w:r>
          </w:p>
        </w:tc>
        <w:tc>
          <w:tcPr>
            <w:tcW w:w="1638" w:type="dxa"/>
            <w:shd w:val="clear" w:color="auto" w:fill="auto"/>
            <w:vAlign w:val="center"/>
          </w:tcPr>
          <w:p w:rsidR="004831E6" w:rsidRPr="00DA2165" w:rsidRDefault="004831E6" w:rsidP="004831E6">
            <w:pPr>
              <w:spacing w:before="0" w:after="0"/>
              <w:rPr>
                <w:rFonts w:cs="Arial"/>
              </w:rPr>
            </w:pPr>
            <w:r w:rsidRPr="00DA2165">
              <w:rPr>
                <w:rFonts w:cs="Arial"/>
              </w:rPr>
              <w:t>Supplemental</w:t>
            </w:r>
          </w:p>
        </w:tc>
      </w:tr>
      <w:tr w:rsidR="004831E6" w:rsidRPr="00DA2165" w:rsidTr="004831E6">
        <w:trPr>
          <w:cantSplit/>
        </w:trPr>
        <w:tc>
          <w:tcPr>
            <w:tcW w:w="3128" w:type="dxa"/>
            <w:shd w:val="clear" w:color="auto" w:fill="auto"/>
            <w:vAlign w:val="center"/>
          </w:tcPr>
          <w:p w:rsidR="004831E6" w:rsidRPr="00DA2165" w:rsidRDefault="004831E6" w:rsidP="0052326E">
            <w:pPr>
              <w:spacing w:before="0" w:after="0"/>
              <w:rPr>
                <w:rFonts w:cs="Arial"/>
              </w:rPr>
            </w:pPr>
            <w:r w:rsidRPr="00DA2165">
              <w:rPr>
                <w:rFonts w:cs="Arial"/>
              </w:rPr>
              <w:t>Cholesterol - LDL</w:t>
            </w:r>
          </w:p>
        </w:tc>
        <w:tc>
          <w:tcPr>
            <w:tcW w:w="3795" w:type="dxa"/>
            <w:shd w:val="clear" w:color="auto" w:fill="auto"/>
            <w:vAlign w:val="center"/>
          </w:tcPr>
          <w:p w:rsidR="004831E6" w:rsidRPr="00DA2165" w:rsidRDefault="004831E6" w:rsidP="004831E6">
            <w:pPr>
              <w:spacing w:before="0" w:after="0"/>
              <w:rPr>
                <w:rFonts w:cs="Arial"/>
              </w:rPr>
            </w:pPr>
            <w:r w:rsidRPr="00DA2165">
              <w:rPr>
                <w:rFonts w:cs="Arial"/>
              </w:rPr>
              <w:t>Measured in mg/</w:t>
            </w:r>
            <w:proofErr w:type="spellStart"/>
            <w:r w:rsidRPr="00DA2165">
              <w:rPr>
                <w:rFonts w:cs="Arial"/>
              </w:rPr>
              <w:t>dL</w:t>
            </w:r>
            <w:proofErr w:type="spellEnd"/>
            <w:r w:rsidRPr="00DA2165">
              <w:rPr>
                <w:rFonts w:cs="Arial"/>
              </w:rPr>
              <w:t xml:space="preserve"> (U.S.) or </w:t>
            </w:r>
            <w:proofErr w:type="spellStart"/>
            <w:r w:rsidRPr="00DA2165">
              <w:rPr>
                <w:rFonts w:cs="Arial"/>
              </w:rPr>
              <w:t>mmol</w:t>
            </w:r>
            <w:proofErr w:type="spellEnd"/>
            <w:r w:rsidRPr="00DA2165">
              <w:rPr>
                <w:rFonts w:cs="Arial"/>
              </w:rPr>
              <w:t>/L (outside U.S.)</w:t>
            </w:r>
          </w:p>
        </w:tc>
        <w:tc>
          <w:tcPr>
            <w:tcW w:w="1244" w:type="dxa"/>
            <w:shd w:val="clear" w:color="auto" w:fill="auto"/>
            <w:vAlign w:val="center"/>
          </w:tcPr>
          <w:p w:rsidR="004831E6" w:rsidRPr="00DA2165" w:rsidRDefault="004831E6" w:rsidP="004831E6">
            <w:pPr>
              <w:spacing w:before="0" w:after="0"/>
              <w:rPr>
                <w:rFonts w:cs="Arial"/>
              </w:rPr>
            </w:pPr>
            <w:r w:rsidRPr="00DA2165">
              <w:rPr>
                <w:rFonts w:cs="Arial"/>
              </w:rPr>
              <w:t>Safety</w:t>
            </w:r>
          </w:p>
        </w:tc>
        <w:tc>
          <w:tcPr>
            <w:tcW w:w="1638" w:type="dxa"/>
            <w:shd w:val="clear" w:color="auto" w:fill="auto"/>
            <w:vAlign w:val="center"/>
          </w:tcPr>
          <w:p w:rsidR="004831E6" w:rsidRPr="00DA2165" w:rsidRDefault="004831E6" w:rsidP="004831E6">
            <w:pPr>
              <w:spacing w:before="0" w:after="0"/>
              <w:rPr>
                <w:rFonts w:cs="Arial"/>
              </w:rPr>
            </w:pPr>
            <w:r w:rsidRPr="00DA2165">
              <w:rPr>
                <w:rFonts w:cs="Arial"/>
              </w:rPr>
              <w:t>Supplemental</w:t>
            </w:r>
          </w:p>
        </w:tc>
      </w:tr>
      <w:tr w:rsidR="004831E6" w:rsidRPr="00DA2165" w:rsidTr="004831E6">
        <w:trPr>
          <w:cantSplit/>
        </w:trPr>
        <w:tc>
          <w:tcPr>
            <w:tcW w:w="3128" w:type="dxa"/>
            <w:shd w:val="clear" w:color="auto" w:fill="auto"/>
            <w:vAlign w:val="center"/>
          </w:tcPr>
          <w:p w:rsidR="004831E6" w:rsidRPr="00DA2165" w:rsidRDefault="004831E6" w:rsidP="004831E6">
            <w:pPr>
              <w:spacing w:before="0" w:after="0"/>
              <w:rPr>
                <w:rFonts w:cs="Arial"/>
              </w:rPr>
            </w:pPr>
            <w:r w:rsidRPr="00DA2165">
              <w:rPr>
                <w:rFonts w:cs="Arial"/>
              </w:rPr>
              <w:t>Cholesterol, total</w:t>
            </w:r>
          </w:p>
        </w:tc>
        <w:tc>
          <w:tcPr>
            <w:tcW w:w="3795" w:type="dxa"/>
            <w:shd w:val="clear" w:color="auto" w:fill="auto"/>
            <w:vAlign w:val="center"/>
          </w:tcPr>
          <w:p w:rsidR="004831E6" w:rsidRPr="00DA2165" w:rsidRDefault="004831E6" w:rsidP="004831E6">
            <w:pPr>
              <w:spacing w:before="0" w:after="0"/>
              <w:rPr>
                <w:rFonts w:cs="Arial"/>
              </w:rPr>
            </w:pPr>
            <w:r w:rsidRPr="00DA2165">
              <w:rPr>
                <w:rFonts w:cs="Arial"/>
              </w:rPr>
              <w:t>Measured in mg/</w:t>
            </w:r>
            <w:proofErr w:type="spellStart"/>
            <w:r w:rsidRPr="00DA2165">
              <w:rPr>
                <w:rFonts w:cs="Arial"/>
              </w:rPr>
              <w:t>dL</w:t>
            </w:r>
            <w:proofErr w:type="spellEnd"/>
            <w:r w:rsidRPr="00DA2165">
              <w:rPr>
                <w:rFonts w:cs="Arial"/>
              </w:rPr>
              <w:t xml:space="preserve"> (U.S.) or </w:t>
            </w:r>
            <w:proofErr w:type="spellStart"/>
            <w:r w:rsidRPr="00DA2165">
              <w:rPr>
                <w:rFonts w:cs="Arial"/>
              </w:rPr>
              <w:t>mmol</w:t>
            </w:r>
            <w:proofErr w:type="spellEnd"/>
            <w:r w:rsidRPr="00DA2165">
              <w:rPr>
                <w:rFonts w:cs="Arial"/>
              </w:rPr>
              <w:t>/L (outside U.S.)</w:t>
            </w:r>
          </w:p>
        </w:tc>
        <w:tc>
          <w:tcPr>
            <w:tcW w:w="1244" w:type="dxa"/>
            <w:shd w:val="clear" w:color="auto" w:fill="auto"/>
            <w:vAlign w:val="center"/>
          </w:tcPr>
          <w:p w:rsidR="004831E6" w:rsidRPr="00DA2165" w:rsidRDefault="004831E6" w:rsidP="004831E6">
            <w:pPr>
              <w:spacing w:before="0" w:after="0"/>
              <w:rPr>
                <w:rFonts w:cs="Arial"/>
              </w:rPr>
            </w:pPr>
            <w:r w:rsidRPr="00DA2165">
              <w:rPr>
                <w:rFonts w:cs="Arial"/>
              </w:rPr>
              <w:t>Safety</w:t>
            </w:r>
          </w:p>
        </w:tc>
        <w:tc>
          <w:tcPr>
            <w:tcW w:w="1638" w:type="dxa"/>
            <w:shd w:val="clear" w:color="auto" w:fill="auto"/>
            <w:vAlign w:val="center"/>
          </w:tcPr>
          <w:p w:rsidR="004831E6" w:rsidRPr="00DA2165" w:rsidRDefault="004831E6" w:rsidP="004831E6">
            <w:pPr>
              <w:spacing w:before="0" w:after="0"/>
              <w:rPr>
                <w:rFonts w:cs="Arial"/>
              </w:rPr>
            </w:pPr>
            <w:r w:rsidRPr="00DA2165">
              <w:rPr>
                <w:rFonts w:cs="Arial"/>
              </w:rPr>
              <w:t>Supplemental</w:t>
            </w:r>
          </w:p>
        </w:tc>
      </w:tr>
      <w:tr w:rsidR="004831E6" w:rsidRPr="00DA2165" w:rsidTr="004831E6">
        <w:trPr>
          <w:cantSplit/>
        </w:trPr>
        <w:tc>
          <w:tcPr>
            <w:tcW w:w="3128" w:type="dxa"/>
            <w:shd w:val="clear" w:color="auto" w:fill="auto"/>
            <w:vAlign w:val="center"/>
          </w:tcPr>
          <w:p w:rsidR="004831E6" w:rsidRPr="00DA2165" w:rsidRDefault="004831E6" w:rsidP="004831E6">
            <w:pPr>
              <w:spacing w:before="0" w:after="0"/>
              <w:rPr>
                <w:rFonts w:cs="Arial"/>
              </w:rPr>
            </w:pPr>
            <w:r w:rsidRPr="00DA2165">
              <w:rPr>
                <w:rFonts w:cs="Arial"/>
              </w:rPr>
              <w:t>Cholesterol - VLDL</w:t>
            </w:r>
          </w:p>
        </w:tc>
        <w:tc>
          <w:tcPr>
            <w:tcW w:w="3795" w:type="dxa"/>
            <w:shd w:val="clear" w:color="auto" w:fill="auto"/>
            <w:vAlign w:val="center"/>
          </w:tcPr>
          <w:p w:rsidR="004831E6" w:rsidRPr="00DA2165" w:rsidRDefault="004831E6" w:rsidP="004831E6">
            <w:pPr>
              <w:spacing w:before="0" w:after="0"/>
              <w:rPr>
                <w:rFonts w:cs="Arial"/>
              </w:rPr>
            </w:pPr>
            <w:r w:rsidRPr="00DA2165">
              <w:rPr>
                <w:rFonts w:cs="Arial"/>
              </w:rPr>
              <w:t>Measured in mg/</w:t>
            </w:r>
            <w:proofErr w:type="spellStart"/>
            <w:r w:rsidRPr="00DA2165">
              <w:rPr>
                <w:rFonts w:cs="Arial"/>
              </w:rPr>
              <w:t>dL</w:t>
            </w:r>
            <w:proofErr w:type="spellEnd"/>
            <w:r w:rsidRPr="00DA2165">
              <w:rPr>
                <w:rFonts w:cs="Arial"/>
              </w:rPr>
              <w:t xml:space="preserve"> (U.S.) or </w:t>
            </w:r>
            <w:proofErr w:type="spellStart"/>
            <w:r w:rsidRPr="00DA2165">
              <w:rPr>
                <w:rFonts w:cs="Arial"/>
              </w:rPr>
              <w:t>mmol</w:t>
            </w:r>
            <w:proofErr w:type="spellEnd"/>
            <w:r w:rsidRPr="00DA2165">
              <w:rPr>
                <w:rFonts w:cs="Arial"/>
              </w:rPr>
              <w:t>/L (outside U.S.)</w:t>
            </w:r>
          </w:p>
        </w:tc>
        <w:tc>
          <w:tcPr>
            <w:tcW w:w="1244" w:type="dxa"/>
            <w:shd w:val="clear" w:color="auto" w:fill="auto"/>
            <w:vAlign w:val="center"/>
          </w:tcPr>
          <w:p w:rsidR="004831E6" w:rsidRPr="00DA2165" w:rsidRDefault="004831E6" w:rsidP="004831E6">
            <w:pPr>
              <w:spacing w:before="0" w:after="0"/>
              <w:rPr>
                <w:rFonts w:cs="Arial"/>
              </w:rPr>
            </w:pPr>
            <w:r w:rsidRPr="00DA2165">
              <w:rPr>
                <w:rFonts w:cs="Arial"/>
              </w:rPr>
              <w:t>Safety</w:t>
            </w:r>
          </w:p>
        </w:tc>
        <w:tc>
          <w:tcPr>
            <w:tcW w:w="1638" w:type="dxa"/>
            <w:shd w:val="clear" w:color="auto" w:fill="auto"/>
            <w:vAlign w:val="center"/>
          </w:tcPr>
          <w:p w:rsidR="004831E6" w:rsidRPr="00DA2165" w:rsidRDefault="004831E6" w:rsidP="004831E6">
            <w:pPr>
              <w:spacing w:before="0" w:after="0"/>
              <w:rPr>
                <w:rFonts w:cs="Arial"/>
              </w:rPr>
            </w:pPr>
            <w:r w:rsidRPr="00DA2165">
              <w:rPr>
                <w:rFonts w:cs="Arial"/>
              </w:rPr>
              <w:t>Supplemental</w:t>
            </w:r>
          </w:p>
        </w:tc>
      </w:tr>
      <w:tr w:rsidR="004831E6" w:rsidRPr="00DA2165" w:rsidTr="00956A68">
        <w:trPr>
          <w:cantSplit/>
          <w:trHeight w:val="440"/>
        </w:trPr>
        <w:tc>
          <w:tcPr>
            <w:tcW w:w="3128" w:type="dxa"/>
            <w:shd w:val="clear" w:color="auto" w:fill="auto"/>
            <w:vAlign w:val="center"/>
          </w:tcPr>
          <w:p w:rsidR="004831E6" w:rsidRPr="00DA2165" w:rsidRDefault="004831E6" w:rsidP="004831E6">
            <w:pPr>
              <w:spacing w:before="0" w:after="0"/>
              <w:rPr>
                <w:rFonts w:cs="Arial"/>
              </w:rPr>
            </w:pPr>
            <w:r w:rsidRPr="00DA2165">
              <w:rPr>
                <w:rFonts w:cs="Arial"/>
              </w:rPr>
              <w:t>Triglycerides</w:t>
            </w:r>
          </w:p>
        </w:tc>
        <w:tc>
          <w:tcPr>
            <w:tcW w:w="3795" w:type="dxa"/>
            <w:shd w:val="clear" w:color="auto" w:fill="auto"/>
            <w:vAlign w:val="center"/>
          </w:tcPr>
          <w:p w:rsidR="004831E6" w:rsidRPr="00DA2165" w:rsidRDefault="004831E6" w:rsidP="004831E6">
            <w:pPr>
              <w:spacing w:before="0" w:after="0"/>
              <w:rPr>
                <w:rFonts w:cs="Arial"/>
              </w:rPr>
            </w:pPr>
            <w:r w:rsidRPr="00DA2165">
              <w:rPr>
                <w:rFonts w:cs="Arial"/>
              </w:rPr>
              <w:t>Measured in mg/</w:t>
            </w:r>
            <w:proofErr w:type="spellStart"/>
            <w:r w:rsidRPr="00DA2165">
              <w:rPr>
                <w:rFonts w:cs="Arial"/>
              </w:rPr>
              <w:t>dL</w:t>
            </w:r>
            <w:proofErr w:type="spellEnd"/>
            <w:r w:rsidRPr="00DA2165">
              <w:rPr>
                <w:rFonts w:cs="Arial"/>
              </w:rPr>
              <w:t xml:space="preserve"> (U.S.) or </w:t>
            </w:r>
            <w:proofErr w:type="spellStart"/>
            <w:r w:rsidRPr="00DA2165">
              <w:rPr>
                <w:rFonts w:cs="Arial"/>
              </w:rPr>
              <w:t>mmol</w:t>
            </w:r>
            <w:proofErr w:type="spellEnd"/>
            <w:r w:rsidRPr="00DA2165">
              <w:rPr>
                <w:rFonts w:cs="Arial"/>
              </w:rPr>
              <w:t>/L (outside U.S.)</w:t>
            </w:r>
          </w:p>
        </w:tc>
        <w:tc>
          <w:tcPr>
            <w:tcW w:w="1244" w:type="dxa"/>
            <w:shd w:val="clear" w:color="auto" w:fill="auto"/>
            <w:vAlign w:val="center"/>
          </w:tcPr>
          <w:p w:rsidR="004831E6" w:rsidRPr="00DA2165" w:rsidRDefault="004831E6" w:rsidP="004831E6">
            <w:pPr>
              <w:spacing w:before="0" w:after="0"/>
              <w:rPr>
                <w:rFonts w:cs="Arial"/>
              </w:rPr>
            </w:pPr>
            <w:r w:rsidRPr="00DA2165">
              <w:rPr>
                <w:rFonts w:cs="Arial"/>
              </w:rPr>
              <w:t>Safety</w:t>
            </w:r>
          </w:p>
        </w:tc>
        <w:tc>
          <w:tcPr>
            <w:tcW w:w="1638" w:type="dxa"/>
            <w:shd w:val="clear" w:color="auto" w:fill="auto"/>
            <w:vAlign w:val="center"/>
          </w:tcPr>
          <w:p w:rsidR="004831E6" w:rsidRPr="00DA2165" w:rsidRDefault="004831E6" w:rsidP="004831E6">
            <w:pPr>
              <w:spacing w:before="0" w:after="0"/>
              <w:rPr>
                <w:rFonts w:cs="Arial"/>
              </w:rPr>
            </w:pPr>
            <w:r w:rsidRPr="00DA2165">
              <w:rPr>
                <w:rFonts w:cs="Arial"/>
              </w:rPr>
              <w:t>Supplemental</w:t>
            </w:r>
          </w:p>
        </w:tc>
      </w:tr>
      <w:tr w:rsidR="009E49DF" w:rsidRPr="00DA2165" w:rsidTr="004831E6">
        <w:trPr>
          <w:cantSplit/>
        </w:trPr>
        <w:tc>
          <w:tcPr>
            <w:tcW w:w="3128" w:type="dxa"/>
            <w:shd w:val="clear" w:color="auto" w:fill="auto"/>
            <w:vAlign w:val="center"/>
          </w:tcPr>
          <w:p w:rsidR="009E49DF" w:rsidRPr="00DA2165" w:rsidRDefault="003154D9" w:rsidP="00A56742">
            <w:pPr>
              <w:spacing w:before="0" w:after="0"/>
              <w:rPr>
                <w:rFonts w:cs="Arial"/>
              </w:rPr>
            </w:pPr>
            <w:r>
              <w:rPr>
                <w:rFonts w:cs="Arial"/>
              </w:rPr>
              <w:t>Vitamin D, 25-</w:t>
            </w:r>
            <w:r w:rsidR="009E49DF" w:rsidRPr="00DA2165">
              <w:rPr>
                <w:rFonts w:cs="Arial"/>
              </w:rPr>
              <w:t>hydroxy</w:t>
            </w:r>
          </w:p>
        </w:tc>
        <w:tc>
          <w:tcPr>
            <w:tcW w:w="3795" w:type="dxa"/>
            <w:shd w:val="clear" w:color="auto" w:fill="auto"/>
            <w:vAlign w:val="center"/>
          </w:tcPr>
          <w:p w:rsidR="009E49DF" w:rsidRPr="00DA2165" w:rsidRDefault="009E49DF" w:rsidP="00A56742">
            <w:pPr>
              <w:spacing w:before="0" w:after="0"/>
              <w:rPr>
                <w:rFonts w:cs="Arial"/>
              </w:rPr>
            </w:pPr>
            <w:r w:rsidRPr="00DA2165">
              <w:rPr>
                <w:rFonts w:cs="Arial"/>
              </w:rPr>
              <w:t xml:space="preserve">Measured in </w:t>
            </w:r>
            <w:proofErr w:type="spellStart"/>
            <w:r w:rsidRPr="00DA2165">
              <w:rPr>
                <w:rFonts w:cs="Arial"/>
              </w:rPr>
              <w:t>ng</w:t>
            </w:r>
            <w:proofErr w:type="spellEnd"/>
            <w:r w:rsidRPr="00DA2165">
              <w:rPr>
                <w:rFonts w:cs="Arial"/>
              </w:rPr>
              <w:t>/</w:t>
            </w:r>
            <w:proofErr w:type="spellStart"/>
            <w:r w:rsidRPr="00DA2165">
              <w:rPr>
                <w:rFonts w:cs="Arial"/>
              </w:rPr>
              <w:t>mL</w:t>
            </w:r>
            <w:proofErr w:type="spellEnd"/>
            <w:r w:rsidRPr="00DA2165">
              <w:rPr>
                <w:rFonts w:cs="Arial"/>
              </w:rPr>
              <w:t xml:space="preserve"> or </w:t>
            </w:r>
            <w:proofErr w:type="spellStart"/>
            <w:r w:rsidRPr="00DA2165">
              <w:rPr>
                <w:rFonts w:cs="Arial"/>
              </w:rPr>
              <w:t>nmol</w:t>
            </w:r>
            <w:proofErr w:type="spellEnd"/>
            <w:r w:rsidRPr="00DA2165">
              <w:rPr>
                <w:rFonts w:cs="Arial"/>
              </w:rPr>
              <w:t>/L</w:t>
            </w:r>
            <w:r w:rsidR="00F552A2">
              <w:rPr>
                <w:rFonts w:cs="Arial"/>
              </w:rPr>
              <w:t xml:space="preserve"> </w:t>
            </w:r>
            <w:r w:rsidR="00F552A2" w:rsidRPr="00DA2165">
              <w:rPr>
                <w:rFonts w:cs="Arial"/>
              </w:rPr>
              <w:t xml:space="preserve">(U.S.) or </w:t>
            </w:r>
            <w:proofErr w:type="spellStart"/>
            <w:r w:rsidR="00F552A2" w:rsidRPr="00DA2165">
              <w:rPr>
                <w:rFonts w:cs="Arial"/>
              </w:rPr>
              <w:t>mmol</w:t>
            </w:r>
            <w:proofErr w:type="spellEnd"/>
            <w:r w:rsidR="00F552A2" w:rsidRPr="00DA2165">
              <w:rPr>
                <w:rFonts w:cs="Arial"/>
              </w:rPr>
              <w:t>/L (outside U.S.)</w:t>
            </w:r>
          </w:p>
        </w:tc>
        <w:tc>
          <w:tcPr>
            <w:tcW w:w="1244" w:type="dxa"/>
            <w:shd w:val="clear" w:color="auto" w:fill="auto"/>
            <w:vAlign w:val="center"/>
          </w:tcPr>
          <w:p w:rsidR="009E49DF" w:rsidRPr="00DA2165" w:rsidRDefault="009E49DF" w:rsidP="00A56742">
            <w:pPr>
              <w:spacing w:before="0" w:after="0"/>
              <w:rPr>
                <w:rFonts w:cs="Arial"/>
              </w:rPr>
            </w:pPr>
            <w:r>
              <w:rPr>
                <w:rFonts w:cs="Arial"/>
              </w:rPr>
              <w:t>Diagnosis, Monitoring</w:t>
            </w:r>
          </w:p>
        </w:tc>
        <w:tc>
          <w:tcPr>
            <w:tcW w:w="1638" w:type="dxa"/>
            <w:shd w:val="clear" w:color="auto" w:fill="auto"/>
            <w:vAlign w:val="center"/>
          </w:tcPr>
          <w:p w:rsidR="009E49DF" w:rsidRPr="00DA2165" w:rsidRDefault="00A56742" w:rsidP="00A56742">
            <w:pPr>
              <w:spacing w:before="0" w:after="0"/>
              <w:rPr>
                <w:rFonts w:cs="Arial"/>
              </w:rPr>
            </w:pPr>
            <w:r>
              <w:rPr>
                <w:rFonts w:cs="Arial"/>
              </w:rPr>
              <w:t>Exploratory</w:t>
            </w:r>
          </w:p>
        </w:tc>
      </w:tr>
      <w:tr w:rsidR="000B23FA" w:rsidRPr="00DA2165" w:rsidTr="00BA4610">
        <w:trPr>
          <w:cantSplit/>
        </w:trPr>
        <w:tc>
          <w:tcPr>
            <w:tcW w:w="3128" w:type="dxa"/>
            <w:shd w:val="clear" w:color="auto" w:fill="auto"/>
            <w:vAlign w:val="center"/>
          </w:tcPr>
          <w:p w:rsidR="000B23FA" w:rsidRDefault="000B23FA" w:rsidP="000B23FA">
            <w:pPr>
              <w:spacing w:before="0" w:after="0"/>
              <w:rPr>
                <w:rFonts w:cs="Arial"/>
              </w:rPr>
            </w:pPr>
            <w:proofErr w:type="spellStart"/>
            <w:r>
              <w:rPr>
                <w:rFonts w:cs="Arial"/>
              </w:rPr>
              <w:t>Microalbumin</w:t>
            </w:r>
            <w:proofErr w:type="spellEnd"/>
            <w:r>
              <w:rPr>
                <w:rFonts w:cs="Arial"/>
              </w:rPr>
              <w:t>, urine</w:t>
            </w:r>
          </w:p>
        </w:tc>
        <w:tc>
          <w:tcPr>
            <w:tcW w:w="3795" w:type="dxa"/>
            <w:shd w:val="clear" w:color="auto" w:fill="auto"/>
          </w:tcPr>
          <w:p w:rsidR="000B23FA" w:rsidRDefault="001D7B0E" w:rsidP="006B558F">
            <w:r>
              <w:t xml:space="preserve">Measured in </w:t>
            </w:r>
            <w:r w:rsidR="006B558F">
              <w:t>mg/</w:t>
            </w:r>
            <w:proofErr w:type="spellStart"/>
            <w:r w:rsidR="006B558F">
              <w:t>dL</w:t>
            </w:r>
            <w:proofErr w:type="spellEnd"/>
            <w:r w:rsidR="006B558F">
              <w:t xml:space="preserve"> (U.S) or </w:t>
            </w:r>
            <w:proofErr w:type="spellStart"/>
            <w:r w:rsidR="006B558F">
              <w:rPr>
                <w:rFonts w:cs="Arial"/>
              </w:rPr>
              <w:t>mmol</w:t>
            </w:r>
            <w:proofErr w:type="spellEnd"/>
            <w:r w:rsidR="006B558F">
              <w:rPr>
                <w:rFonts w:cs="Arial"/>
              </w:rPr>
              <w:t>/L (outside U.S.)</w:t>
            </w:r>
          </w:p>
        </w:tc>
        <w:tc>
          <w:tcPr>
            <w:tcW w:w="1244" w:type="dxa"/>
            <w:shd w:val="clear" w:color="auto" w:fill="auto"/>
          </w:tcPr>
          <w:p w:rsidR="000B23FA" w:rsidRDefault="006B558F" w:rsidP="000B23FA">
            <w:r>
              <w:rPr>
                <w:rFonts w:cs="Arial"/>
              </w:rPr>
              <w:t>Diagnosis</w:t>
            </w:r>
          </w:p>
        </w:tc>
        <w:tc>
          <w:tcPr>
            <w:tcW w:w="1638" w:type="dxa"/>
            <w:shd w:val="clear" w:color="auto" w:fill="auto"/>
          </w:tcPr>
          <w:p w:rsidR="000B23FA" w:rsidRDefault="00404DAB" w:rsidP="000B23FA">
            <w:r>
              <w:t>Supplemental</w:t>
            </w:r>
          </w:p>
        </w:tc>
      </w:tr>
    </w:tbl>
    <w:p w:rsidR="000C6320" w:rsidRDefault="000C6320" w:rsidP="000B23FA">
      <w:r>
        <w:br w:type="page"/>
      </w:r>
      <w:bookmarkStart w:id="0" w:name="_GoBack"/>
      <w:bookmarkEnd w:id="0"/>
    </w:p>
    <w:p w:rsidR="00C5626A" w:rsidRPr="000B23FA" w:rsidRDefault="00C5626A" w:rsidP="000B23FA">
      <w:pPr>
        <w:pStyle w:val="Heading2"/>
      </w:pPr>
      <w:r w:rsidRPr="000B23FA">
        <w:lastRenderedPageBreak/>
        <w:t>General Instructions</w:t>
      </w:r>
    </w:p>
    <w:p w:rsidR="00C5626A" w:rsidRPr="00654B83" w:rsidRDefault="00C5626A" w:rsidP="00C5626A">
      <w:pPr>
        <w:tabs>
          <w:tab w:val="left" w:pos="900"/>
          <w:tab w:val="left" w:pos="1260"/>
        </w:tabs>
        <w:rPr>
          <w:rFonts w:cs="Arial"/>
          <w:sz w:val="24"/>
          <w:szCs w:val="24"/>
        </w:rPr>
      </w:pPr>
      <w:r w:rsidRPr="00654B83">
        <w:rPr>
          <w:rFonts w:cs="Arial"/>
          <w:sz w:val="24"/>
          <w:szCs w:val="24"/>
        </w:rPr>
        <w:t>Laboratory tests are routinely administered in observational studies and clinical trials to diagnose, monitor disease, and also to assess participant/subject safety.</w:t>
      </w:r>
    </w:p>
    <w:p w:rsidR="00C5626A" w:rsidRPr="00654B83" w:rsidRDefault="00C5626A" w:rsidP="00C5626A">
      <w:pPr>
        <w:tabs>
          <w:tab w:val="left" w:pos="900"/>
          <w:tab w:val="left" w:pos="1260"/>
        </w:tabs>
        <w:spacing w:before="240"/>
        <w:rPr>
          <w:rFonts w:cs="Arial"/>
          <w:sz w:val="24"/>
          <w:szCs w:val="24"/>
        </w:rPr>
      </w:pPr>
      <w:r w:rsidRPr="00654B83">
        <w:rPr>
          <w:rFonts w:cs="Arial"/>
          <w:sz w:val="24"/>
          <w:szCs w:val="24"/>
        </w:rPr>
        <w:t>Laboratory tests may also be used to determine an individual’s eligibility for a study.</w:t>
      </w:r>
    </w:p>
    <w:p w:rsidR="00C5626A" w:rsidRPr="00654B83" w:rsidRDefault="00C5626A" w:rsidP="00C5626A">
      <w:pPr>
        <w:tabs>
          <w:tab w:val="left" w:pos="900"/>
          <w:tab w:val="left" w:pos="1260"/>
        </w:tabs>
        <w:spacing w:before="240"/>
        <w:rPr>
          <w:rFonts w:cs="Arial"/>
          <w:color w:val="000000"/>
          <w:sz w:val="24"/>
          <w:szCs w:val="24"/>
        </w:rPr>
      </w:pPr>
      <w:r w:rsidRPr="00654B83">
        <w:rPr>
          <w:rFonts w:cs="Arial"/>
          <w:sz w:val="24"/>
          <w:szCs w:val="24"/>
        </w:rPr>
        <w:t>Laboratory results may be received via electronic files directly from central study laboratories or recorded manually on case report forms if the study is using a local lab. In either scenario, it is recommended that a Laboratory Test Tracking form be used to record when samples were collected (date and time) so that the laboratory tests results can be matched with the samples collected for each participant/subject.</w:t>
      </w:r>
    </w:p>
    <w:p w:rsidR="00C5626A" w:rsidRPr="00654B83" w:rsidRDefault="00C5626A" w:rsidP="000B23FA">
      <w:pPr>
        <w:pStyle w:val="Heading2"/>
      </w:pPr>
      <w:r w:rsidRPr="00654B83">
        <w:t>Specific Instructions</w:t>
      </w:r>
    </w:p>
    <w:p w:rsidR="00A82DF1" w:rsidRDefault="00A82DF1" w:rsidP="00C5626A">
      <w:pPr>
        <w:tabs>
          <w:tab w:val="left" w:pos="900"/>
          <w:tab w:val="left" w:pos="1260"/>
        </w:tabs>
        <w:spacing w:before="240"/>
        <w:rPr>
          <w:rFonts w:cs="Arial"/>
          <w:sz w:val="24"/>
          <w:szCs w:val="24"/>
        </w:rPr>
      </w:pPr>
      <w:proofErr w:type="gramStart"/>
      <w:r w:rsidRPr="00654B83">
        <w:rPr>
          <w:rFonts w:cs="Arial"/>
          <w:i/>
          <w:sz w:val="24"/>
          <w:szCs w:val="24"/>
        </w:rPr>
        <w:t>Diagnosis of diabetes.</w:t>
      </w:r>
      <w:proofErr w:type="gramEnd"/>
      <w:r w:rsidRPr="00654B83">
        <w:rPr>
          <w:rFonts w:cs="Arial"/>
          <w:sz w:val="24"/>
          <w:szCs w:val="24"/>
        </w:rPr>
        <w:t xml:space="preserve"> The diagnosis of diabetes can either be made by 1) hemoglobin A1c greater than or equal to 6.5 in a NGSP certified laboratory, standardized to the DCCT OR 2) fasting (no caloric intake for at least 8 hours) plasma glucose greater than or equal to 126 mg/</w:t>
      </w:r>
      <w:proofErr w:type="spellStart"/>
      <w:r w:rsidRPr="00654B83">
        <w:rPr>
          <w:rFonts w:cs="Arial"/>
          <w:sz w:val="24"/>
          <w:szCs w:val="24"/>
        </w:rPr>
        <w:t>dL</w:t>
      </w:r>
      <w:proofErr w:type="spellEnd"/>
      <w:r w:rsidRPr="00654B83">
        <w:rPr>
          <w:rFonts w:cs="Arial"/>
          <w:sz w:val="24"/>
          <w:szCs w:val="24"/>
        </w:rPr>
        <w:t xml:space="preserve"> (7.0 </w:t>
      </w:r>
      <w:proofErr w:type="spellStart"/>
      <w:r w:rsidRPr="00654B83">
        <w:rPr>
          <w:rFonts w:cs="Arial"/>
          <w:sz w:val="24"/>
          <w:szCs w:val="24"/>
        </w:rPr>
        <w:t>mmol</w:t>
      </w:r>
      <w:proofErr w:type="spellEnd"/>
      <w:r w:rsidRPr="00654B83">
        <w:rPr>
          <w:rFonts w:cs="Arial"/>
          <w:sz w:val="24"/>
          <w:szCs w:val="24"/>
        </w:rPr>
        <w:t>/L) OR 3) two-hour plasma glucose greater than or equal to 200 mg/</w:t>
      </w:r>
      <w:proofErr w:type="spellStart"/>
      <w:r w:rsidRPr="00654B83">
        <w:rPr>
          <w:rFonts w:cs="Arial"/>
          <w:sz w:val="24"/>
          <w:szCs w:val="24"/>
        </w:rPr>
        <w:t>dL</w:t>
      </w:r>
      <w:proofErr w:type="spellEnd"/>
      <w:r w:rsidRPr="00654B83">
        <w:rPr>
          <w:rFonts w:cs="Arial"/>
          <w:sz w:val="24"/>
          <w:szCs w:val="24"/>
        </w:rPr>
        <w:t xml:space="preserve"> (11.1 </w:t>
      </w:r>
      <w:proofErr w:type="spellStart"/>
      <w:r w:rsidRPr="00654B83">
        <w:rPr>
          <w:rFonts w:cs="Arial"/>
          <w:sz w:val="24"/>
          <w:szCs w:val="24"/>
        </w:rPr>
        <w:t>mMol</w:t>
      </w:r>
      <w:proofErr w:type="spellEnd"/>
      <w:r w:rsidRPr="00654B83">
        <w:rPr>
          <w:rFonts w:cs="Arial"/>
          <w:sz w:val="24"/>
          <w:szCs w:val="24"/>
        </w:rPr>
        <w:t>/L) after</w:t>
      </w:r>
      <w:r w:rsidR="00F71F2E">
        <w:rPr>
          <w:rFonts w:cs="Arial"/>
          <w:sz w:val="24"/>
          <w:szCs w:val="24"/>
        </w:rPr>
        <w:t xml:space="preserve"> an oral glucose tolerance test (OGTT)</w:t>
      </w:r>
      <w:r w:rsidRPr="00654B83">
        <w:rPr>
          <w:rFonts w:cs="Arial"/>
          <w:sz w:val="24"/>
          <w:szCs w:val="24"/>
        </w:rPr>
        <w:t xml:space="preserve"> ingestion of a glucose load containing 75 g anhydrous glucose dissolved in water OR 4) in a patient with classic symptoms of hyperglycemia or hyperglycemic crisis, a random plasma glucose of greater than or equal to 200 mg/</w:t>
      </w:r>
      <w:proofErr w:type="spellStart"/>
      <w:r w:rsidRPr="00654B83">
        <w:rPr>
          <w:rFonts w:cs="Arial"/>
          <w:sz w:val="24"/>
          <w:szCs w:val="24"/>
        </w:rPr>
        <w:t>dL</w:t>
      </w:r>
      <w:proofErr w:type="spellEnd"/>
      <w:r w:rsidRPr="00654B83">
        <w:rPr>
          <w:rFonts w:cs="Arial"/>
          <w:sz w:val="24"/>
          <w:szCs w:val="24"/>
        </w:rPr>
        <w:t xml:space="preserve"> (11.1 </w:t>
      </w:r>
      <w:proofErr w:type="spellStart"/>
      <w:r w:rsidRPr="00654B83">
        <w:rPr>
          <w:rFonts w:cs="Arial"/>
          <w:sz w:val="24"/>
          <w:szCs w:val="24"/>
        </w:rPr>
        <w:t>mmol</w:t>
      </w:r>
      <w:proofErr w:type="spellEnd"/>
      <w:r w:rsidRPr="00654B83">
        <w:rPr>
          <w:rFonts w:cs="Arial"/>
          <w:sz w:val="24"/>
          <w:szCs w:val="24"/>
        </w:rPr>
        <w:t xml:space="preserve">/L). Additional details can be found in the reference cited below. </w:t>
      </w:r>
    </w:p>
    <w:p w:rsidR="00654B83" w:rsidRPr="00654B83" w:rsidRDefault="00654B83" w:rsidP="0052326E">
      <w:pPr>
        <w:pStyle w:val="Heading2"/>
        <w:tabs>
          <w:tab w:val="left" w:pos="6315"/>
        </w:tabs>
        <w:spacing w:after="120"/>
      </w:pPr>
      <w:r w:rsidRPr="00654B83">
        <w:t>CITATIONS</w:t>
      </w:r>
      <w:r w:rsidR="0052326E">
        <w:tab/>
      </w:r>
    </w:p>
    <w:p w:rsidR="00654B83" w:rsidRPr="000B23FA" w:rsidRDefault="00654B83" w:rsidP="000B23FA">
      <w:pPr>
        <w:pStyle w:val="ListParagraph"/>
        <w:widowControl w:val="0"/>
        <w:numPr>
          <w:ilvl w:val="0"/>
          <w:numId w:val="2"/>
        </w:numPr>
        <w:autoSpaceDE w:val="0"/>
        <w:autoSpaceDN w:val="0"/>
        <w:adjustRightInd w:val="0"/>
        <w:spacing w:before="0" w:after="0"/>
        <w:rPr>
          <w:rFonts w:cs="Arial"/>
          <w:sz w:val="24"/>
          <w:szCs w:val="24"/>
        </w:rPr>
      </w:pPr>
      <w:r w:rsidRPr="000B23FA">
        <w:rPr>
          <w:rFonts w:cs="Arial"/>
          <w:sz w:val="24"/>
          <w:szCs w:val="24"/>
        </w:rPr>
        <w:t>Standards of medical care in diabetes--2014. Diabetes care. 2014</w:t>
      </w:r>
      <w:proofErr w:type="gramStart"/>
      <w:r w:rsidRPr="000B23FA">
        <w:rPr>
          <w:rFonts w:cs="Arial"/>
          <w:sz w:val="24"/>
          <w:szCs w:val="24"/>
        </w:rPr>
        <w:t>;37</w:t>
      </w:r>
      <w:proofErr w:type="gramEnd"/>
      <w:r w:rsidRPr="000B23FA">
        <w:rPr>
          <w:rFonts w:cs="Arial"/>
          <w:sz w:val="24"/>
          <w:szCs w:val="24"/>
        </w:rPr>
        <w:t xml:space="preserve"> </w:t>
      </w:r>
      <w:proofErr w:type="spellStart"/>
      <w:r w:rsidRPr="000B23FA">
        <w:rPr>
          <w:rFonts w:cs="Arial"/>
          <w:sz w:val="24"/>
          <w:szCs w:val="24"/>
        </w:rPr>
        <w:t>Suppl</w:t>
      </w:r>
      <w:proofErr w:type="spellEnd"/>
      <w:r w:rsidRPr="000B23FA">
        <w:rPr>
          <w:rFonts w:cs="Arial"/>
          <w:sz w:val="24"/>
          <w:szCs w:val="24"/>
        </w:rPr>
        <w:t xml:space="preserve"> 1:S14-80. </w:t>
      </w:r>
      <w:proofErr w:type="spellStart"/>
      <w:r w:rsidRPr="000B23FA">
        <w:rPr>
          <w:rFonts w:cs="Arial"/>
          <w:sz w:val="24"/>
          <w:szCs w:val="24"/>
        </w:rPr>
        <w:t>Epub</w:t>
      </w:r>
      <w:proofErr w:type="spellEnd"/>
      <w:r w:rsidRPr="000B23FA">
        <w:rPr>
          <w:rFonts w:cs="Arial"/>
          <w:sz w:val="24"/>
          <w:szCs w:val="24"/>
        </w:rPr>
        <w:t xml:space="preserve"> 2013/12/21. </w:t>
      </w:r>
      <w:proofErr w:type="spellStart"/>
      <w:proofErr w:type="gramStart"/>
      <w:r w:rsidRPr="000B23FA">
        <w:rPr>
          <w:rFonts w:cs="Arial"/>
          <w:sz w:val="24"/>
          <w:szCs w:val="24"/>
        </w:rPr>
        <w:t>doi</w:t>
      </w:r>
      <w:proofErr w:type="spellEnd"/>
      <w:proofErr w:type="gramEnd"/>
      <w:r w:rsidRPr="000B23FA">
        <w:rPr>
          <w:rFonts w:cs="Arial"/>
          <w:sz w:val="24"/>
          <w:szCs w:val="24"/>
        </w:rPr>
        <w:t xml:space="preserve">: 10.2337/dc14-S014. </w:t>
      </w:r>
      <w:proofErr w:type="spellStart"/>
      <w:r w:rsidRPr="000B23FA">
        <w:rPr>
          <w:rFonts w:cs="Arial"/>
          <w:sz w:val="24"/>
          <w:szCs w:val="24"/>
        </w:rPr>
        <w:t>PubMed</w:t>
      </w:r>
      <w:proofErr w:type="spellEnd"/>
      <w:r w:rsidRPr="000B23FA">
        <w:rPr>
          <w:rFonts w:cs="Arial"/>
          <w:sz w:val="24"/>
          <w:szCs w:val="24"/>
        </w:rPr>
        <w:t xml:space="preserve"> PMID: 24357209.</w:t>
      </w:r>
    </w:p>
    <w:p w:rsidR="00654B83" w:rsidRPr="000B23FA" w:rsidRDefault="00654B83" w:rsidP="000B23FA">
      <w:pPr>
        <w:pStyle w:val="ListParagraph"/>
        <w:widowControl w:val="0"/>
        <w:numPr>
          <w:ilvl w:val="0"/>
          <w:numId w:val="2"/>
        </w:numPr>
        <w:autoSpaceDE w:val="0"/>
        <w:autoSpaceDN w:val="0"/>
        <w:adjustRightInd w:val="0"/>
        <w:spacing w:before="0" w:after="0"/>
        <w:rPr>
          <w:rFonts w:cs="Arial"/>
          <w:sz w:val="24"/>
          <w:szCs w:val="24"/>
        </w:rPr>
      </w:pPr>
      <w:proofErr w:type="spellStart"/>
      <w:r w:rsidRPr="000B23FA">
        <w:rPr>
          <w:rFonts w:cs="Arial"/>
          <w:sz w:val="24"/>
          <w:szCs w:val="24"/>
        </w:rPr>
        <w:t>Vehik</w:t>
      </w:r>
      <w:proofErr w:type="spellEnd"/>
      <w:r w:rsidRPr="000B23FA">
        <w:rPr>
          <w:rFonts w:cs="Arial"/>
          <w:sz w:val="24"/>
          <w:szCs w:val="24"/>
        </w:rPr>
        <w:t xml:space="preserve"> K, Beam CA, Mahon JL, Schatz DA, Haller MJ, </w:t>
      </w:r>
      <w:proofErr w:type="spellStart"/>
      <w:r w:rsidRPr="000B23FA">
        <w:rPr>
          <w:rFonts w:cs="Arial"/>
          <w:sz w:val="24"/>
          <w:szCs w:val="24"/>
        </w:rPr>
        <w:t>Sosenko</w:t>
      </w:r>
      <w:proofErr w:type="spellEnd"/>
      <w:r w:rsidRPr="000B23FA">
        <w:rPr>
          <w:rFonts w:cs="Arial"/>
          <w:sz w:val="24"/>
          <w:szCs w:val="24"/>
        </w:rPr>
        <w:t xml:space="preserve"> JM, et al. Development of </w:t>
      </w:r>
      <w:proofErr w:type="spellStart"/>
      <w:r w:rsidRPr="000B23FA">
        <w:rPr>
          <w:rFonts w:cs="Arial"/>
          <w:sz w:val="24"/>
          <w:szCs w:val="24"/>
        </w:rPr>
        <w:t>autoantibodies</w:t>
      </w:r>
      <w:proofErr w:type="spellEnd"/>
      <w:r w:rsidRPr="000B23FA">
        <w:rPr>
          <w:rFonts w:cs="Arial"/>
          <w:sz w:val="24"/>
          <w:szCs w:val="24"/>
        </w:rPr>
        <w:t xml:space="preserve"> in the </w:t>
      </w:r>
      <w:proofErr w:type="spellStart"/>
      <w:r w:rsidRPr="000B23FA">
        <w:rPr>
          <w:rFonts w:cs="Arial"/>
          <w:sz w:val="24"/>
          <w:szCs w:val="24"/>
        </w:rPr>
        <w:t>TrialNet</w:t>
      </w:r>
      <w:proofErr w:type="spellEnd"/>
      <w:r w:rsidRPr="000B23FA">
        <w:rPr>
          <w:rFonts w:cs="Arial"/>
          <w:sz w:val="24"/>
          <w:szCs w:val="24"/>
        </w:rPr>
        <w:t xml:space="preserve"> Natural History Study. Diabetes care. 2011</w:t>
      </w:r>
      <w:proofErr w:type="gramStart"/>
      <w:r w:rsidRPr="000B23FA">
        <w:rPr>
          <w:rFonts w:cs="Arial"/>
          <w:sz w:val="24"/>
          <w:szCs w:val="24"/>
        </w:rPr>
        <w:t>;34</w:t>
      </w:r>
      <w:proofErr w:type="gramEnd"/>
      <w:r w:rsidRPr="000B23FA">
        <w:rPr>
          <w:rFonts w:cs="Arial"/>
          <w:sz w:val="24"/>
          <w:szCs w:val="24"/>
        </w:rPr>
        <w:t xml:space="preserve">(9):1897-901. </w:t>
      </w:r>
      <w:proofErr w:type="spellStart"/>
      <w:r w:rsidRPr="000B23FA">
        <w:rPr>
          <w:rFonts w:cs="Arial"/>
          <w:sz w:val="24"/>
          <w:szCs w:val="24"/>
        </w:rPr>
        <w:t>Epub</w:t>
      </w:r>
      <w:proofErr w:type="spellEnd"/>
      <w:r w:rsidRPr="000B23FA">
        <w:rPr>
          <w:rFonts w:cs="Arial"/>
          <w:sz w:val="24"/>
          <w:szCs w:val="24"/>
        </w:rPr>
        <w:t xml:space="preserve"> 2011/07/14. </w:t>
      </w:r>
      <w:proofErr w:type="spellStart"/>
      <w:proofErr w:type="gramStart"/>
      <w:r w:rsidRPr="000B23FA">
        <w:rPr>
          <w:rFonts w:cs="Arial"/>
          <w:sz w:val="24"/>
          <w:szCs w:val="24"/>
        </w:rPr>
        <w:t>doi</w:t>
      </w:r>
      <w:proofErr w:type="spellEnd"/>
      <w:proofErr w:type="gramEnd"/>
      <w:r w:rsidRPr="000B23FA">
        <w:rPr>
          <w:rFonts w:cs="Arial"/>
          <w:sz w:val="24"/>
          <w:szCs w:val="24"/>
        </w:rPr>
        <w:t xml:space="preserve">: 10.2337/dc11-0560. </w:t>
      </w:r>
      <w:proofErr w:type="spellStart"/>
      <w:r w:rsidRPr="000B23FA">
        <w:rPr>
          <w:rFonts w:cs="Arial"/>
          <w:sz w:val="24"/>
          <w:szCs w:val="24"/>
        </w:rPr>
        <w:t>PubMed</w:t>
      </w:r>
      <w:proofErr w:type="spellEnd"/>
      <w:r w:rsidRPr="000B23FA">
        <w:rPr>
          <w:rFonts w:cs="Arial"/>
          <w:sz w:val="24"/>
          <w:szCs w:val="24"/>
        </w:rPr>
        <w:t xml:space="preserve"> PMID: 21750277; </w:t>
      </w:r>
      <w:proofErr w:type="spellStart"/>
      <w:r w:rsidRPr="000B23FA">
        <w:rPr>
          <w:rFonts w:cs="Arial"/>
          <w:sz w:val="24"/>
          <w:szCs w:val="24"/>
        </w:rPr>
        <w:t>PubMed</w:t>
      </w:r>
      <w:proofErr w:type="spellEnd"/>
      <w:r w:rsidRPr="000B23FA">
        <w:rPr>
          <w:rFonts w:cs="Arial"/>
          <w:sz w:val="24"/>
          <w:szCs w:val="24"/>
        </w:rPr>
        <w:t xml:space="preserve"> Central PMCID: PMC3161292.</w:t>
      </w:r>
    </w:p>
    <w:p w:rsidR="006A6E1A" w:rsidRPr="000B23FA" w:rsidRDefault="00654B83" w:rsidP="000B23FA">
      <w:pPr>
        <w:pStyle w:val="ListParagraph"/>
        <w:widowControl w:val="0"/>
        <w:numPr>
          <w:ilvl w:val="0"/>
          <w:numId w:val="2"/>
        </w:numPr>
        <w:autoSpaceDE w:val="0"/>
        <w:autoSpaceDN w:val="0"/>
        <w:adjustRightInd w:val="0"/>
        <w:spacing w:before="0" w:after="0"/>
        <w:rPr>
          <w:rFonts w:cs="Arial"/>
          <w:sz w:val="24"/>
          <w:szCs w:val="24"/>
        </w:rPr>
      </w:pPr>
      <w:r w:rsidRPr="000B23FA">
        <w:rPr>
          <w:rFonts w:cs="Arial"/>
          <w:sz w:val="24"/>
          <w:szCs w:val="24"/>
        </w:rPr>
        <w:t xml:space="preserve">Ziegler AG, </w:t>
      </w:r>
      <w:proofErr w:type="spellStart"/>
      <w:r w:rsidRPr="000B23FA">
        <w:rPr>
          <w:rFonts w:cs="Arial"/>
          <w:sz w:val="24"/>
          <w:szCs w:val="24"/>
        </w:rPr>
        <w:t>Rewers</w:t>
      </w:r>
      <w:proofErr w:type="spellEnd"/>
      <w:r w:rsidRPr="000B23FA">
        <w:rPr>
          <w:rFonts w:cs="Arial"/>
          <w:sz w:val="24"/>
          <w:szCs w:val="24"/>
        </w:rPr>
        <w:t xml:space="preserve"> M, </w:t>
      </w:r>
      <w:proofErr w:type="spellStart"/>
      <w:r w:rsidRPr="000B23FA">
        <w:rPr>
          <w:rFonts w:cs="Arial"/>
          <w:sz w:val="24"/>
          <w:szCs w:val="24"/>
        </w:rPr>
        <w:t>Simell</w:t>
      </w:r>
      <w:proofErr w:type="spellEnd"/>
      <w:r w:rsidRPr="000B23FA">
        <w:rPr>
          <w:rFonts w:cs="Arial"/>
          <w:sz w:val="24"/>
          <w:szCs w:val="24"/>
        </w:rPr>
        <w:t xml:space="preserve"> O, </w:t>
      </w:r>
      <w:proofErr w:type="spellStart"/>
      <w:r w:rsidRPr="000B23FA">
        <w:rPr>
          <w:rFonts w:cs="Arial"/>
          <w:sz w:val="24"/>
          <w:szCs w:val="24"/>
        </w:rPr>
        <w:t>Simell</w:t>
      </w:r>
      <w:proofErr w:type="spellEnd"/>
      <w:r w:rsidRPr="000B23FA">
        <w:rPr>
          <w:rFonts w:cs="Arial"/>
          <w:sz w:val="24"/>
          <w:szCs w:val="24"/>
        </w:rPr>
        <w:t xml:space="preserve"> T, </w:t>
      </w:r>
      <w:proofErr w:type="spellStart"/>
      <w:r w:rsidRPr="000B23FA">
        <w:rPr>
          <w:rFonts w:cs="Arial"/>
          <w:sz w:val="24"/>
          <w:szCs w:val="24"/>
        </w:rPr>
        <w:t>Lempainen</w:t>
      </w:r>
      <w:proofErr w:type="spellEnd"/>
      <w:r w:rsidRPr="000B23FA">
        <w:rPr>
          <w:rFonts w:cs="Arial"/>
          <w:sz w:val="24"/>
          <w:szCs w:val="24"/>
        </w:rPr>
        <w:t xml:space="preserve"> J, </w:t>
      </w:r>
      <w:proofErr w:type="spellStart"/>
      <w:r w:rsidRPr="000B23FA">
        <w:rPr>
          <w:rFonts w:cs="Arial"/>
          <w:sz w:val="24"/>
          <w:szCs w:val="24"/>
        </w:rPr>
        <w:t>Steck</w:t>
      </w:r>
      <w:proofErr w:type="spellEnd"/>
      <w:r w:rsidRPr="000B23FA">
        <w:rPr>
          <w:rFonts w:cs="Arial"/>
          <w:sz w:val="24"/>
          <w:szCs w:val="24"/>
        </w:rPr>
        <w:t xml:space="preserve"> A, et al. </w:t>
      </w:r>
      <w:proofErr w:type="spellStart"/>
      <w:r w:rsidRPr="000B23FA">
        <w:rPr>
          <w:rFonts w:cs="Arial"/>
          <w:sz w:val="24"/>
          <w:szCs w:val="24"/>
        </w:rPr>
        <w:t>Seroconversion</w:t>
      </w:r>
      <w:proofErr w:type="spellEnd"/>
      <w:r w:rsidRPr="000B23FA">
        <w:rPr>
          <w:rFonts w:cs="Arial"/>
          <w:sz w:val="24"/>
          <w:szCs w:val="24"/>
        </w:rPr>
        <w:t xml:space="preserve"> to multiple islet </w:t>
      </w:r>
      <w:proofErr w:type="spellStart"/>
      <w:r w:rsidRPr="000B23FA">
        <w:rPr>
          <w:rFonts w:cs="Arial"/>
          <w:sz w:val="24"/>
          <w:szCs w:val="24"/>
        </w:rPr>
        <w:t>autoantibodies</w:t>
      </w:r>
      <w:proofErr w:type="spellEnd"/>
      <w:r w:rsidRPr="000B23FA">
        <w:rPr>
          <w:rFonts w:cs="Arial"/>
          <w:sz w:val="24"/>
          <w:szCs w:val="24"/>
        </w:rPr>
        <w:t xml:space="preserve"> and risk of progression to diabetes in children. </w:t>
      </w:r>
      <w:proofErr w:type="gramStart"/>
      <w:r w:rsidRPr="000B23FA">
        <w:rPr>
          <w:rFonts w:cs="Arial"/>
          <w:sz w:val="24"/>
          <w:szCs w:val="24"/>
        </w:rPr>
        <w:t>JAMA :</w:t>
      </w:r>
      <w:proofErr w:type="gramEnd"/>
      <w:r w:rsidRPr="000B23FA">
        <w:rPr>
          <w:rFonts w:cs="Arial"/>
          <w:sz w:val="24"/>
          <w:szCs w:val="24"/>
        </w:rPr>
        <w:t xml:space="preserve"> the journal of the American Medical Association. 2013</w:t>
      </w:r>
      <w:proofErr w:type="gramStart"/>
      <w:r w:rsidRPr="000B23FA">
        <w:rPr>
          <w:rFonts w:cs="Arial"/>
          <w:sz w:val="24"/>
          <w:szCs w:val="24"/>
        </w:rPr>
        <w:t>;309</w:t>
      </w:r>
      <w:proofErr w:type="gramEnd"/>
      <w:r w:rsidRPr="000B23FA">
        <w:rPr>
          <w:rFonts w:cs="Arial"/>
          <w:sz w:val="24"/>
          <w:szCs w:val="24"/>
        </w:rPr>
        <w:t xml:space="preserve">(23):2473-9. </w:t>
      </w:r>
      <w:proofErr w:type="spellStart"/>
      <w:r w:rsidRPr="000B23FA">
        <w:rPr>
          <w:rFonts w:cs="Arial"/>
          <w:sz w:val="24"/>
          <w:szCs w:val="24"/>
        </w:rPr>
        <w:t>Epub</w:t>
      </w:r>
      <w:proofErr w:type="spellEnd"/>
      <w:r w:rsidRPr="000B23FA">
        <w:rPr>
          <w:rFonts w:cs="Arial"/>
          <w:sz w:val="24"/>
          <w:szCs w:val="24"/>
        </w:rPr>
        <w:t xml:space="preserve"> 2013/06/20. </w:t>
      </w:r>
      <w:proofErr w:type="spellStart"/>
      <w:proofErr w:type="gramStart"/>
      <w:r w:rsidRPr="000B23FA">
        <w:rPr>
          <w:rFonts w:cs="Arial"/>
          <w:sz w:val="24"/>
          <w:szCs w:val="24"/>
        </w:rPr>
        <w:t>doi</w:t>
      </w:r>
      <w:proofErr w:type="spellEnd"/>
      <w:proofErr w:type="gramEnd"/>
      <w:r w:rsidRPr="000B23FA">
        <w:rPr>
          <w:rFonts w:cs="Arial"/>
          <w:sz w:val="24"/>
          <w:szCs w:val="24"/>
        </w:rPr>
        <w:t xml:space="preserve">: 10.1001/jama.2013.6285. </w:t>
      </w:r>
      <w:proofErr w:type="spellStart"/>
      <w:r w:rsidRPr="000B23FA">
        <w:rPr>
          <w:rFonts w:cs="Arial"/>
          <w:sz w:val="24"/>
          <w:szCs w:val="24"/>
        </w:rPr>
        <w:t>PubMed</w:t>
      </w:r>
      <w:proofErr w:type="spellEnd"/>
      <w:r w:rsidRPr="000B23FA">
        <w:rPr>
          <w:rFonts w:cs="Arial"/>
          <w:sz w:val="24"/>
          <w:szCs w:val="24"/>
        </w:rPr>
        <w:t xml:space="preserve"> PMID: 23780460.</w:t>
      </w:r>
    </w:p>
    <w:sectPr w:rsidR="006A6E1A" w:rsidRPr="000B23FA" w:rsidSect="00CE305B">
      <w:headerReference w:type="default" r:id="rId7"/>
      <w:footerReference w:type="default" r:id="rId8"/>
      <w:type w:val="continuous"/>
      <w:pgSz w:w="12240" w:h="15840" w:code="1"/>
      <w:pgMar w:top="1800" w:right="1080" w:bottom="720" w:left="1080" w:header="720" w:footer="36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87138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A68" w:rsidRDefault="00956A68" w:rsidP="006A6E1A">
      <w:pPr>
        <w:spacing w:after="0"/>
      </w:pPr>
      <w:r>
        <w:separator/>
      </w:r>
    </w:p>
  </w:endnote>
  <w:endnote w:type="continuationSeparator" w:id="0">
    <w:p w:rsidR="00956A68" w:rsidRDefault="00956A68" w:rsidP="006A6E1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ＭＳ 明朝">
    <w:altName w:val="MS Mincho"/>
    <w:charset w:val="4E"/>
    <w:family w:val="auto"/>
    <w:pitch w:val="variable"/>
    <w:sig w:usb0="00000000"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A68" w:rsidRPr="00062D42" w:rsidRDefault="00956A68" w:rsidP="00062D42">
    <w:pPr>
      <w:tabs>
        <w:tab w:val="right" w:pos="10080"/>
      </w:tabs>
      <w:rPr>
        <w:rFonts w:cs="Arial"/>
      </w:rPr>
    </w:pPr>
    <w:r>
      <w:rPr>
        <w:rFonts w:cs="Arial"/>
      </w:rPr>
      <w:t>Mito Version 1</w:t>
    </w:r>
    <w:r w:rsidRPr="00062D42">
      <w:rPr>
        <w:rFonts w:cs="Arial"/>
      </w:rPr>
      <w:t>.0</w:t>
    </w:r>
    <w:r w:rsidRPr="00062D42">
      <w:rPr>
        <w:rFonts w:cs="Arial"/>
      </w:rPr>
      <w:tab/>
    </w:r>
    <w:sdt>
      <w:sdtPr>
        <w:rPr>
          <w:rFonts w:cs="Arial"/>
        </w:rPr>
        <w:id w:val="250395305"/>
        <w:docPartObj>
          <w:docPartGallery w:val="Page Numbers (Top of Page)"/>
          <w:docPartUnique/>
        </w:docPartObj>
      </w:sdtPr>
      <w:sdtContent>
        <w:r w:rsidRPr="00062D42">
          <w:rPr>
            <w:rFonts w:cs="Arial"/>
          </w:rPr>
          <w:t xml:space="preserve">Page </w:t>
        </w:r>
        <w:r w:rsidR="001A32D7" w:rsidRPr="00062D42">
          <w:rPr>
            <w:rFonts w:cs="Arial"/>
          </w:rPr>
          <w:fldChar w:fldCharType="begin"/>
        </w:r>
        <w:r w:rsidRPr="00062D42">
          <w:rPr>
            <w:rFonts w:cs="Arial"/>
          </w:rPr>
          <w:instrText xml:space="preserve"> PAGE </w:instrText>
        </w:r>
        <w:r w:rsidR="001A32D7" w:rsidRPr="00062D42">
          <w:rPr>
            <w:rFonts w:cs="Arial"/>
          </w:rPr>
          <w:fldChar w:fldCharType="separate"/>
        </w:r>
        <w:r w:rsidR="0052326E">
          <w:rPr>
            <w:rFonts w:cs="Arial"/>
            <w:noProof/>
          </w:rPr>
          <w:t>1</w:t>
        </w:r>
        <w:r w:rsidR="001A32D7" w:rsidRPr="00062D42">
          <w:rPr>
            <w:rFonts w:cs="Arial"/>
          </w:rPr>
          <w:fldChar w:fldCharType="end"/>
        </w:r>
        <w:r w:rsidRPr="00062D42">
          <w:rPr>
            <w:rFonts w:cs="Arial"/>
          </w:rPr>
          <w:t xml:space="preserve"> of </w:t>
        </w:r>
        <w:r w:rsidR="001A32D7" w:rsidRPr="00062D42">
          <w:rPr>
            <w:rFonts w:cs="Arial"/>
          </w:rPr>
          <w:fldChar w:fldCharType="begin"/>
        </w:r>
        <w:r w:rsidRPr="00062D42">
          <w:rPr>
            <w:rFonts w:cs="Arial"/>
          </w:rPr>
          <w:instrText xml:space="preserve"> NUMPAGES  </w:instrText>
        </w:r>
        <w:r w:rsidR="001A32D7" w:rsidRPr="00062D42">
          <w:rPr>
            <w:rFonts w:cs="Arial"/>
          </w:rPr>
          <w:fldChar w:fldCharType="separate"/>
        </w:r>
        <w:r w:rsidR="0052326E">
          <w:rPr>
            <w:rFonts w:cs="Arial"/>
            <w:noProof/>
          </w:rPr>
          <w:t>2</w:t>
        </w:r>
        <w:r w:rsidR="001A32D7" w:rsidRPr="00062D42">
          <w:rPr>
            <w:rFonts w:cs="Arial"/>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A68" w:rsidRDefault="00956A68" w:rsidP="006A6E1A">
      <w:pPr>
        <w:spacing w:after="0"/>
      </w:pPr>
      <w:r>
        <w:separator/>
      </w:r>
    </w:p>
  </w:footnote>
  <w:footnote w:type="continuationSeparator" w:id="0">
    <w:p w:rsidR="00956A68" w:rsidRDefault="00956A68" w:rsidP="006A6E1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A68" w:rsidRPr="000B23FA" w:rsidRDefault="00956A68" w:rsidP="000B23FA">
    <w:pPr>
      <w:pStyle w:val="Heading1"/>
    </w:pPr>
    <w:r w:rsidRPr="000B23FA">
      <w:t>Laboratory Tests and Non-Imaging Diagnostics (Diabetes)</w:t>
    </w:r>
  </w:p>
  <w:p w:rsidR="00956A68" w:rsidRPr="001B7A12" w:rsidRDefault="00956A68" w:rsidP="00CD2F0B">
    <w:pPr>
      <w:pStyle w:val="Header"/>
      <w:tabs>
        <w:tab w:val="clear" w:pos="4680"/>
        <w:tab w:val="left" w:pos="6480"/>
        <w:tab w:val="right" w:pos="10440"/>
      </w:tabs>
      <w:spacing w:after="120"/>
      <w:ind w:right="-907"/>
      <w:rPr>
        <w:rFonts w:cs="Arial"/>
        <w:b/>
      </w:rPr>
    </w:pPr>
    <w:r w:rsidRPr="000B23FA">
      <w:t>[Study Name/ID pre-filled]</w:t>
    </w:r>
    <w:r>
      <w:rPr>
        <w:rFonts w:cs="Arial"/>
      </w:rPr>
      <w:tab/>
    </w:r>
    <w:r w:rsidRPr="001B7A12">
      <w:rPr>
        <w:rFonts w:cs="Arial"/>
      </w:rPr>
      <w:t xml:space="preserve">Site Name: </w:t>
    </w:r>
  </w:p>
  <w:p w:rsidR="00956A68" w:rsidRPr="00CD2F0B" w:rsidRDefault="00956A68" w:rsidP="00CD2F0B">
    <w:pPr>
      <w:pStyle w:val="Header"/>
      <w:tabs>
        <w:tab w:val="clear" w:pos="4680"/>
        <w:tab w:val="left" w:pos="6489"/>
        <w:tab w:val="right" w:pos="10440"/>
      </w:tabs>
      <w:spacing w:after="240"/>
      <w:ind w:right="-907"/>
      <w:rPr>
        <w:rFonts w:cs="Arial"/>
      </w:rPr>
    </w:pPr>
    <w:r w:rsidRPr="001B7A12">
      <w:rPr>
        <w:rFonts w:cs="Arial"/>
      </w:rPr>
      <w:tab/>
      <w:t xml:space="preserve">Subject ID: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C7D51"/>
    <w:multiLevelType w:val="hybridMultilevel"/>
    <w:tmpl w:val="CD8CE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D2705D"/>
    <w:multiLevelType w:val="hybridMultilevel"/>
    <w:tmpl w:val="BDD07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y Franklin">
    <w15:presenceInfo w15:providerId="AD" w15:userId="S-1-5-21-2694617142-506856424-1326597219-771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B23C4D"/>
    <w:rsid w:val="00007B7E"/>
    <w:rsid w:val="0005140D"/>
    <w:rsid w:val="00051BA4"/>
    <w:rsid w:val="00062D42"/>
    <w:rsid w:val="00072E95"/>
    <w:rsid w:val="000753E9"/>
    <w:rsid w:val="000968BC"/>
    <w:rsid w:val="000B23FA"/>
    <w:rsid w:val="000C6320"/>
    <w:rsid w:val="000C6978"/>
    <w:rsid w:val="00104833"/>
    <w:rsid w:val="0013069F"/>
    <w:rsid w:val="001332AF"/>
    <w:rsid w:val="001441AD"/>
    <w:rsid w:val="001715F9"/>
    <w:rsid w:val="0017427C"/>
    <w:rsid w:val="001A32D7"/>
    <w:rsid w:val="001B4DD8"/>
    <w:rsid w:val="001B5B80"/>
    <w:rsid w:val="001D7B0E"/>
    <w:rsid w:val="002101B9"/>
    <w:rsid w:val="00221449"/>
    <w:rsid w:val="0022688F"/>
    <w:rsid w:val="002706D6"/>
    <w:rsid w:val="002866AB"/>
    <w:rsid w:val="002A53B9"/>
    <w:rsid w:val="002E1D21"/>
    <w:rsid w:val="002E73ED"/>
    <w:rsid w:val="003154D9"/>
    <w:rsid w:val="003779E4"/>
    <w:rsid w:val="003A2051"/>
    <w:rsid w:val="003B2B12"/>
    <w:rsid w:val="003C4DE9"/>
    <w:rsid w:val="003E35D8"/>
    <w:rsid w:val="003E409F"/>
    <w:rsid w:val="00404DAB"/>
    <w:rsid w:val="00421438"/>
    <w:rsid w:val="00430051"/>
    <w:rsid w:val="00467015"/>
    <w:rsid w:val="00472133"/>
    <w:rsid w:val="00481754"/>
    <w:rsid w:val="00482FE0"/>
    <w:rsid w:val="004831E6"/>
    <w:rsid w:val="004C60F9"/>
    <w:rsid w:val="004D1E39"/>
    <w:rsid w:val="004E6C63"/>
    <w:rsid w:val="004F1BD1"/>
    <w:rsid w:val="00511243"/>
    <w:rsid w:val="0052326E"/>
    <w:rsid w:val="00542733"/>
    <w:rsid w:val="00570BDA"/>
    <w:rsid w:val="005755EF"/>
    <w:rsid w:val="005840D1"/>
    <w:rsid w:val="005A5DA6"/>
    <w:rsid w:val="005E1E73"/>
    <w:rsid w:val="006174AF"/>
    <w:rsid w:val="00631A8A"/>
    <w:rsid w:val="00654B83"/>
    <w:rsid w:val="006674A4"/>
    <w:rsid w:val="006A6E1A"/>
    <w:rsid w:val="006B558F"/>
    <w:rsid w:val="006B6A88"/>
    <w:rsid w:val="006D3892"/>
    <w:rsid w:val="006F2003"/>
    <w:rsid w:val="007505BD"/>
    <w:rsid w:val="007A65F0"/>
    <w:rsid w:val="007B7C5D"/>
    <w:rsid w:val="007C3709"/>
    <w:rsid w:val="007C6323"/>
    <w:rsid w:val="007D0F64"/>
    <w:rsid w:val="007D2A47"/>
    <w:rsid w:val="007E429C"/>
    <w:rsid w:val="007F73EE"/>
    <w:rsid w:val="00812034"/>
    <w:rsid w:val="00822C23"/>
    <w:rsid w:val="008537FB"/>
    <w:rsid w:val="00871B64"/>
    <w:rsid w:val="00884E9C"/>
    <w:rsid w:val="008A5211"/>
    <w:rsid w:val="008C2F46"/>
    <w:rsid w:val="008D20A9"/>
    <w:rsid w:val="008D4147"/>
    <w:rsid w:val="008E0F58"/>
    <w:rsid w:val="008E2747"/>
    <w:rsid w:val="00914074"/>
    <w:rsid w:val="00946582"/>
    <w:rsid w:val="009550AE"/>
    <w:rsid w:val="00956909"/>
    <w:rsid w:val="00956A68"/>
    <w:rsid w:val="009575AA"/>
    <w:rsid w:val="009B67C0"/>
    <w:rsid w:val="009C0DE9"/>
    <w:rsid w:val="009E49DF"/>
    <w:rsid w:val="00A0397F"/>
    <w:rsid w:val="00A41590"/>
    <w:rsid w:val="00A51145"/>
    <w:rsid w:val="00A56742"/>
    <w:rsid w:val="00A82DF1"/>
    <w:rsid w:val="00A878B1"/>
    <w:rsid w:val="00AA4560"/>
    <w:rsid w:val="00AC28D8"/>
    <w:rsid w:val="00AF1457"/>
    <w:rsid w:val="00B1012F"/>
    <w:rsid w:val="00B20A2A"/>
    <w:rsid w:val="00B23C4D"/>
    <w:rsid w:val="00B346EE"/>
    <w:rsid w:val="00B4267B"/>
    <w:rsid w:val="00B50D0B"/>
    <w:rsid w:val="00B671A8"/>
    <w:rsid w:val="00B86040"/>
    <w:rsid w:val="00BA4610"/>
    <w:rsid w:val="00BC4542"/>
    <w:rsid w:val="00BC6707"/>
    <w:rsid w:val="00BE2710"/>
    <w:rsid w:val="00BE460E"/>
    <w:rsid w:val="00BE706D"/>
    <w:rsid w:val="00BF2C18"/>
    <w:rsid w:val="00BF3460"/>
    <w:rsid w:val="00BF73F0"/>
    <w:rsid w:val="00C063CB"/>
    <w:rsid w:val="00C10127"/>
    <w:rsid w:val="00C27820"/>
    <w:rsid w:val="00C46F4F"/>
    <w:rsid w:val="00C5626A"/>
    <w:rsid w:val="00C67A25"/>
    <w:rsid w:val="00CA4B6A"/>
    <w:rsid w:val="00CA7131"/>
    <w:rsid w:val="00CB7928"/>
    <w:rsid w:val="00CD0C51"/>
    <w:rsid w:val="00CD2F0B"/>
    <w:rsid w:val="00CD5633"/>
    <w:rsid w:val="00CE1B8C"/>
    <w:rsid w:val="00CE305B"/>
    <w:rsid w:val="00CF3718"/>
    <w:rsid w:val="00D042EB"/>
    <w:rsid w:val="00D04DB6"/>
    <w:rsid w:val="00D0755D"/>
    <w:rsid w:val="00D10C57"/>
    <w:rsid w:val="00D17D79"/>
    <w:rsid w:val="00D43FFA"/>
    <w:rsid w:val="00D509E4"/>
    <w:rsid w:val="00D63AFF"/>
    <w:rsid w:val="00D67E47"/>
    <w:rsid w:val="00D766C3"/>
    <w:rsid w:val="00DA2165"/>
    <w:rsid w:val="00DA7351"/>
    <w:rsid w:val="00DB54D7"/>
    <w:rsid w:val="00DC57A0"/>
    <w:rsid w:val="00DE6AA8"/>
    <w:rsid w:val="00E13255"/>
    <w:rsid w:val="00E21DB0"/>
    <w:rsid w:val="00E30162"/>
    <w:rsid w:val="00E372F0"/>
    <w:rsid w:val="00E37F9F"/>
    <w:rsid w:val="00E43811"/>
    <w:rsid w:val="00E50260"/>
    <w:rsid w:val="00EB3E76"/>
    <w:rsid w:val="00ED5792"/>
    <w:rsid w:val="00EE3805"/>
    <w:rsid w:val="00F04F28"/>
    <w:rsid w:val="00F176BA"/>
    <w:rsid w:val="00F552A2"/>
    <w:rsid w:val="00F5695C"/>
    <w:rsid w:val="00F631AC"/>
    <w:rsid w:val="00F71F2E"/>
    <w:rsid w:val="00FC4EE5"/>
    <w:rsid w:val="00FD4A5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0B23FA"/>
    <w:pPr>
      <w:spacing w:before="120" w:after="60"/>
    </w:pPr>
    <w:rPr>
      <w:rFonts w:ascii="Arial" w:hAnsi="Arial"/>
      <w:sz w:val="22"/>
      <w:szCs w:val="22"/>
    </w:rPr>
  </w:style>
  <w:style w:type="paragraph" w:styleId="Heading1">
    <w:name w:val="heading 1"/>
    <w:basedOn w:val="Header"/>
    <w:next w:val="Normal"/>
    <w:link w:val="Heading1Char"/>
    <w:qFormat/>
    <w:rsid w:val="008A5211"/>
    <w:pPr>
      <w:jc w:val="center"/>
      <w:outlineLvl w:val="0"/>
    </w:pPr>
    <w:rPr>
      <w:rFonts w:cs="Arial"/>
      <w:b/>
      <w:sz w:val="28"/>
      <w:szCs w:val="24"/>
    </w:rPr>
  </w:style>
  <w:style w:type="paragraph" w:styleId="Heading2">
    <w:name w:val="heading 2"/>
    <w:basedOn w:val="Heading3"/>
    <w:next w:val="Normal"/>
    <w:link w:val="Heading2Char"/>
    <w:qFormat/>
    <w:rsid w:val="000B23FA"/>
    <w:pPr>
      <w:outlineLvl w:val="1"/>
    </w:pPr>
    <w:rPr>
      <w:rFonts w:ascii="Arial" w:hAnsi="Arial" w:cs="Arial"/>
      <w:color w:val="auto"/>
      <w:sz w:val="24"/>
      <w:szCs w:val="24"/>
    </w:rPr>
  </w:style>
  <w:style w:type="paragraph" w:styleId="Heading3">
    <w:name w:val="heading 3"/>
    <w:basedOn w:val="Normal"/>
    <w:next w:val="Normal"/>
    <w:link w:val="Heading3Char"/>
    <w:semiHidden/>
    <w:unhideWhenUsed/>
    <w:qFormat/>
    <w:rsid w:val="00C562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3C4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B23C4D"/>
    <w:pPr>
      <w:tabs>
        <w:tab w:val="center" w:pos="4680"/>
        <w:tab w:val="right" w:pos="9360"/>
      </w:tabs>
      <w:spacing w:after="0"/>
    </w:pPr>
  </w:style>
  <w:style w:type="character" w:customStyle="1" w:styleId="HeaderChar">
    <w:name w:val="Header Char"/>
    <w:basedOn w:val="DefaultParagraphFont"/>
    <w:link w:val="Header"/>
    <w:uiPriority w:val="99"/>
    <w:rsid w:val="00B23C4D"/>
  </w:style>
  <w:style w:type="paragraph" w:styleId="Footer">
    <w:name w:val="footer"/>
    <w:basedOn w:val="Normal"/>
    <w:link w:val="FooterChar"/>
    <w:uiPriority w:val="99"/>
    <w:unhideWhenUsed/>
    <w:rsid w:val="00B23C4D"/>
    <w:pPr>
      <w:tabs>
        <w:tab w:val="center" w:pos="4680"/>
        <w:tab w:val="right" w:pos="9360"/>
      </w:tabs>
      <w:spacing w:after="0"/>
    </w:pPr>
  </w:style>
  <w:style w:type="character" w:customStyle="1" w:styleId="FooterChar">
    <w:name w:val="Footer Char"/>
    <w:basedOn w:val="DefaultParagraphFont"/>
    <w:link w:val="Footer"/>
    <w:uiPriority w:val="99"/>
    <w:rsid w:val="00B23C4D"/>
  </w:style>
  <w:style w:type="character" w:styleId="CommentReference">
    <w:name w:val="annotation reference"/>
    <w:basedOn w:val="DefaultParagraphFont"/>
    <w:rsid w:val="00D10C57"/>
    <w:rPr>
      <w:sz w:val="16"/>
      <w:szCs w:val="16"/>
    </w:rPr>
  </w:style>
  <w:style w:type="paragraph" w:styleId="CommentText">
    <w:name w:val="annotation text"/>
    <w:basedOn w:val="Normal"/>
    <w:link w:val="CommentTextChar"/>
    <w:rsid w:val="00D10C57"/>
    <w:rPr>
      <w:sz w:val="20"/>
      <w:szCs w:val="20"/>
    </w:rPr>
  </w:style>
  <w:style w:type="character" w:customStyle="1" w:styleId="CommentTextChar">
    <w:name w:val="Comment Text Char"/>
    <w:basedOn w:val="DefaultParagraphFont"/>
    <w:link w:val="CommentText"/>
    <w:rsid w:val="00D10C57"/>
  </w:style>
  <w:style w:type="paragraph" w:styleId="CommentSubject">
    <w:name w:val="annotation subject"/>
    <w:basedOn w:val="CommentText"/>
    <w:next w:val="CommentText"/>
    <w:link w:val="CommentSubjectChar"/>
    <w:rsid w:val="00D10C57"/>
    <w:rPr>
      <w:b/>
      <w:bCs/>
    </w:rPr>
  </w:style>
  <w:style w:type="character" w:customStyle="1" w:styleId="CommentSubjectChar">
    <w:name w:val="Comment Subject Char"/>
    <w:basedOn w:val="CommentTextChar"/>
    <w:link w:val="CommentSubject"/>
    <w:rsid w:val="00D10C57"/>
    <w:rPr>
      <w:b/>
      <w:bCs/>
    </w:rPr>
  </w:style>
  <w:style w:type="paragraph" w:styleId="BalloonText">
    <w:name w:val="Balloon Text"/>
    <w:basedOn w:val="Normal"/>
    <w:link w:val="BalloonTextChar"/>
    <w:rsid w:val="00D10C57"/>
    <w:pPr>
      <w:spacing w:after="0"/>
    </w:pPr>
    <w:rPr>
      <w:rFonts w:ascii="Tahoma" w:hAnsi="Tahoma" w:cs="Tahoma"/>
      <w:sz w:val="16"/>
      <w:szCs w:val="16"/>
    </w:rPr>
  </w:style>
  <w:style w:type="character" w:customStyle="1" w:styleId="BalloonTextChar">
    <w:name w:val="Balloon Text Char"/>
    <w:basedOn w:val="DefaultParagraphFont"/>
    <w:link w:val="BalloonText"/>
    <w:rsid w:val="00D10C57"/>
    <w:rPr>
      <w:rFonts w:ascii="Tahoma" w:hAnsi="Tahoma" w:cs="Tahoma"/>
      <w:sz w:val="16"/>
      <w:szCs w:val="16"/>
    </w:rPr>
  </w:style>
  <w:style w:type="character" w:styleId="Emphasis">
    <w:name w:val="Emphasis"/>
    <w:basedOn w:val="DefaultParagraphFont"/>
    <w:uiPriority w:val="20"/>
    <w:qFormat/>
    <w:rsid w:val="00ED5792"/>
    <w:rPr>
      <w:i/>
      <w:iCs/>
    </w:rPr>
  </w:style>
  <w:style w:type="character" w:customStyle="1" w:styleId="Heading1Char">
    <w:name w:val="Heading 1 Char"/>
    <w:basedOn w:val="DefaultParagraphFont"/>
    <w:link w:val="Heading1"/>
    <w:rsid w:val="008A5211"/>
    <w:rPr>
      <w:rFonts w:ascii="Arial" w:hAnsi="Arial" w:cs="Arial"/>
      <w:b/>
      <w:sz w:val="28"/>
      <w:szCs w:val="24"/>
    </w:rPr>
  </w:style>
  <w:style w:type="paragraph" w:styleId="Caption">
    <w:name w:val="caption"/>
    <w:basedOn w:val="Normal"/>
    <w:next w:val="Normal"/>
    <w:unhideWhenUsed/>
    <w:qFormat/>
    <w:rsid w:val="00A41590"/>
    <w:pPr>
      <w:spacing w:before="200"/>
    </w:pPr>
    <w:rPr>
      <w:b/>
      <w:bCs/>
      <w:szCs w:val="18"/>
    </w:rPr>
  </w:style>
  <w:style w:type="character" w:customStyle="1" w:styleId="Heading3Char">
    <w:name w:val="Heading 3 Char"/>
    <w:basedOn w:val="DefaultParagraphFont"/>
    <w:link w:val="Heading3"/>
    <w:semiHidden/>
    <w:rsid w:val="00C5626A"/>
    <w:rPr>
      <w:rFonts w:asciiTheme="majorHAnsi" w:eastAsiaTheme="majorEastAsia" w:hAnsiTheme="majorHAnsi" w:cstheme="majorBidi"/>
      <w:b/>
      <w:bCs/>
      <w:color w:val="4F81BD" w:themeColor="accent1"/>
      <w:sz w:val="22"/>
      <w:szCs w:val="22"/>
    </w:rPr>
  </w:style>
  <w:style w:type="character" w:styleId="BookTitle">
    <w:name w:val="Book Title"/>
    <w:basedOn w:val="DefaultParagraphFont"/>
    <w:qFormat/>
    <w:rsid w:val="00CD2F0B"/>
    <w:rPr>
      <w:b/>
      <w:bCs/>
      <w:smallCaps/>
      <w:spacing w:val="5"/>
    </w:rPr>
  </w:style>
  <w:style w:type="character" w:customStyle="1" w:styleId="Heading2Char">
    <w:name w:val="Heading 2 Char"/>
    <w:basedOn w:val="DefaultParagraphFont"/>
    <w:link w:val="Heading2"/>
    <w:rsid w:val="000B23FA"/>
    <w:rPr>
      <w:rFonts w:ascii="Arial" w:eastAsiaTheme="majorEastAsia" w:hAnsi="Arial" w:cs="Arial"/>
      <w:b/>
      <w:bCs/>
      <w:sz w:val="24"/>
      <w:szCs w:val="24"/>
    </w:rPr>
  </w:style>
  <w:style w:type="paragraph" w:styleId="ListParagraph">
    <w:name w:val="List Paragraph"/>
    <w:basedOn w:val="Normal"/>
    <w:qFormat/>
    <w:rsid w:val="000B23FA"/>
    <w:pPr>
      <w:ind w:left="720"/>
      <w:contextualSpacing/>
    </w:pPr>
  </w:style>
</w:styles>
</file>

<file path=word/webSettings.xml><?xml version="1.0" encoding="utf-8"?>
<w:webSettings xmlns:r="http://schemas.openxmlformats.org/officeDocument/2006/relationships" xmlns:w="http://schemas.openxmlformats.org/wordprocessingml/2006/main">
  <w:divs>
    <w:div w:id="376324529">
      <w:bodyDiv w:val="1"/>
      <w:marLeft w:val="0"/>
      <w:marRight w:val="0"/>
      <w:marTop w:val="0"/>
      <w:marBottom w:val="0"/>
      <w:divBdr>
        <w:top w:val="none" w:sz="0" w:space="0" w:color="auto"/>
        <w:left w:val="none" w:sz="0" w:space="0" w:color="auto"/>
        <w:bottom w:val="none" w:sz="0" w:space="0" w:color="auto"/>
        <w:right w:val="none" w:sz="0" w:space="0" w:color="auto"/>
      </w:divBdr>
    </w:div>
    <w:div w:id="426660551">
      <w:bodyDiv w:val="1"/>
      <w:marLeft w:val="0"/>
      <w:marRight w:val="0"/>
      <w:marTop w:val="0"/>
      <w:marBottom w:val="0"/>
      <w:divBdr>
        <w:top w:val="none" w:sz="0" w:space="0" w:color="auto"/>
        <w:left w:val="none" w:sz="0" w:space="0" w:color="auto"/>
        <w:bottom w:val="none" w:sz="0" w:space="0" w:color="auto"/>
        <w:right w:val="none" w:sz="0" w:space="0" w:color="auto"/>
      </w:divBdr>
    </w:div>
    <w:div w:id="850533165">
      <w:bodyDiv w:val="1"/>
      <w:marLeft w:val="0"/>
      <w:marRight w:val="0"/>
      <w:marTop w:val="0"/>
      <w:marBottom w:val="0"/>
      <w:divBdr>
        <w:top w:val="none" w:sz="0" w:space="0" w:color="auto"/>
        <w:left w:val="none" w:sz="0" w:space="0" w:color="auto"/>
        <w:bottom w:val="none" w:sz="0" w:space="0" w:color="auto"/>
        <w:right w:val="none" w:sz="0" w:space="0" w:color="auto"/>
      </w:divBdr>
    </w:div>
    <w:div w:id="1086537804">
      <w:bodyDiv w:val="1"/>
      <w:marLeft w:val="0"/>
      <w:marRight w:val="0"/>
      <w:marTop w:val="0"/>
      <w:marBottom w:val="0"/>
      <w:divBdr>
        <w:top w:val="none" w:sz="0" w:space="0" w:color="auto"/>
        <w:left w:val="none" w:sz="0" w:space="0" w:color="auto"/>
        <w:bottom w:val="none" w:sz="0" w:space="0" w:color="auto"/>
        <w:right w:val="none" w:sz="0" w:space="0" w:color="auto"/>
      </w:divBdr>
    </w:div>
    <w:div w:id="1271543645">
      <w:bodyDiv w:val="1"/>
      <w:marLeft w:val="0"/>
      <w:marRight w:val="0"/>
      <w:marTop w:val="0"/>
      <w:marBottom w:val="0"/>
      <w:divBdr>
        <w:top w:val="none" w:sz="0" w:space="0" w:color="auto"/>
        <w:left w:val="none" w:sz="0" w:space="0" w:color="auto"/>
        <w:bottom w:val="none" w:sz="0" w:space="0" w:color="auto"/>
        <w:right w:val="none" w:sz="0" w:space="0" w:color="auto"/>
      </w:divBdr>
    </w:div>
    <w:div w:id="1329599949">
      <w:bodyDiv w:val="1"/>
      <w:marLeft w:val="0"/>
      <w:marRight w:val="0"/>
      <w:marTop w:val="0"/>
      <w:marBottom w:val="0"/>
      <w:divBdr>
        <w:top w:val="none" w:sz="0" w:space="0" w:color="auto"/>
        <w:left w:val="none" w:sz="0" w:space="0" w:color="auto"/>
        <w:bottom w:val="none" w:sz="0" w:space="0" w:color="auto"/>
        <w:right w:val="none" w:sz="0" w:space="0" w:color="auto"/>
      </w:divBdr>
    </w:div>
    <w:div w:id="1520969927">
      <w:bodyDiv w:val="1"/>
      <w:marLeft w:val="0"/>
      <w:marRight w:val="0"/>
      <w:marTop w:val="0"/>
      <w:marBottom w:val="0"/>
      <w:divBdr>
        <w:top w:val="none" w:sz="0" w:space="0" w:color="auto"/>
        <w:left w:val="none" w:sz="0" w:space="0" w:color="auto"/>
        <w:bottom w:val="none" w:sz="0" w:space="0" w:color="auto"/>
        <w:right w:val="none" w:sz="0" w:space="0" w:color="auto"/>
      </w:divBdr>
    </w:div>
    <w:div w:id="1543592022">
      <w:bodyDiv w:val="1"/>
      <w:marLeft w:val="0"/>
      <w:marRight w:val="0"/>
      <w:marTop w:val="0"/>
      <w:marBottom w:val="0"/>
      <w:divBdr>
        <w:top w:val="none" w:sz="0" w:space="0" w:color="auto"/>
        <w:left w:val="none" w:sz="0" w:space="0" w:color="auto"/>
        <w:bottom w:val="none" w:sz="0" w:space="0" w:color="auto"/>
        <w:right w:val="none" w:sz="0" w:space="0" w:color="auto"/>
      </w:divBdr>
    </w:div>
    <w:div w:id="1647734875">
      <w:bodyDiv w:val="1"/>
      <w:marLeft w:val="0"/>
      <w:marRight w:val="0"/>
      <w:marTop w:val="0"/>
      <w:marBottom w:val="0"/>
      <w:divBdr>
        <w:top w:val="none" w:sz="0" w:space="0" w:color="auto"/>
        <w:left w:val="none" w:sz="0" w:space="0" w:color="auto"/>
        <w:bottom w:val="none" w:sz="0" w:space="0" w:color="auto"/>
        <w:right w:val="none" w:sz="0" w:space="0" w:color="auto"/>
      </w:divBdr>
    </w:div>
    <w:div w:id="1798714748">
      <w:bodyDiv w:val="1"/>
      <w:marLeft w:val="0"/>
      <w:marRight w:val="0"/>
      <w:marTop w:val="0"/>
      <w:marBottom w:val="0"/>
      <w:divBdr>
        <w:top w:val="none" w:sz="0" w:space="0" w:color="auto"/>
        <w:left w:val="none" w:sz="0" w:space="0" w:color="auto"/>
        <w:bottom w:val="none" w:sz="0" w:space="0" w:color="auto"/>
        <w:right w:val="none" w:sz="0" w:space="0" w:color="auto"/>
      </w:divBdr>
    </w:div>
    <w:div w:id="1844469547">
      <w:bodyDiv w:val="1"/>
      <w:marLeft w:val="0"/>
      <w:marRight w:val="0"/>
      <w:marTop w:val="0"/>
      <w:marBottom w:val="0"/>
      <w:divBdr>
        <w:top w:val="none" w:sz="0" w:space="0" w:color="auto"/>
        <w:left w:val="none" w:sz="0" w:space="0" w:color="auto"/>
        <w:bottom w:val="none" w:sz="0" w:space="0" w:color="auto"/>
        <w:right w:val="none" w:sz="0" w:space="0" w:color="auto"/>
      </w:divBdr>
    </w:div>
    <w:div w:id="1985159609">
      <w:bodyDiv w:val="1"/>
      <w:marLeft w:val="0"/>
      <w:marRight w:val="0"/>
      <w:marTop w:val="0"/>
      <w:marBottom w:val="0"/>
      <w:divBdr>
        <w:top w:val="none" w:sz="0" w:space="0" w:color="auto"/>
        <w:left w:val="none" w:sz="0" w:space="0" w:color="auto"/>
        <w:bottom w:val="none" w:sz="0" w:space="0" w:color="auto"/>
        <w:right w:val="none" w:sz="0" w:space="0" w:color="auto"/>
      </w:divBdr>
    </w:div>
    <w:div w:id="211716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3960</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Lab Tests and Non-Imaging Diagnostics Subgroup Recs</vt:lpstr>
    </vt:vector>
  </TitlesOfParts>
  <Company>Altarum Institute</Company>
  <LinksUpToDate>false</LinksUpToDate>
  <CharactersWithSpaces>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Tests and Non-Imaging Diagnostics Subgroup Recs</dc:title>
  <dc:subject>CRF</dc:subject>
  <dc:creator>NINDS</dc:creator>
  <cp:keywords>CRF, NINDS, Laboratory, Tests, Non-Imaging, Diagnostics, Subgroup, Recommendations</cp:keywords>
  <cp:lastModifiedBy>Sherita Alai</cp:lastModifiedBy>
  <cp:revision>7</cp:revision>
  <cp:lastPrinted>2015-01-30T21:12:00Z</cp:lastPrinted>
  <dcterms:created xsi:type="dcterms:W3CDTF">2014-10-31T19:34:00Z</dcterms:created>
  <dcterms:modified xsi:type="dcterms:W3CDTF">2015-02-11T17:16:00Z</dcterms:modified>
  <cp:category>CRF</cp:category>
  <cp:contentStatus>508 Compliant</cp:contentStatus>
</cp:coreProperties>
</file>