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94" w:rsidRDefault="0082730E" w:rsidP="0082730E">
      <w:pPr>
        <w:spacing w:after="0"/>
      </w:pPr>
      <w:r w:rsidRPr="00DB2AB1">
        <w:rPr>
          <w:b/>
        </w:rPr>
        <w:t xml:space="preserve">Did the participant/subject take any </w:t>
      </w:r>
      <w:r>
        <w:rPr>
          <w:b/>
        </w:rPr>
        <w:t xml:space="preserve">dietary supplements </w:t>
      </w:r>
      <w:r w:rsidRPr="00DB2AB1">
        <w:rPr>
          <w:b/>
        </w:rPr>
        <w:t>before or during the study</w:t>
      </w:r>
      <w:r w:rsidRPr="00DB2AB1">
        <w:t>?</w:t>
      </w:r>
    </w:p>
    <w:p w:rsidR="00C12C32" w:rsidRDefault="00C55FB7" w:rsidP="00C12C32">
      <w:pPr>
        <w:spacing w:after="0"/>
      </w:pPr>
      <w:r w:rsidRPr="00DB2AB1">
        <w:fldChar w:fldCharType="begin">
          <w:ffData>
            <w:name w:val="Check1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12C32" w:rsidRPr="00DB2AB1">
        <w:instrText xml:space="preserve"> FORMCHECKBOX </w:instrText>
      </w:r>
      <w:r>
        <w:fldChar w:fldCharType="separate"/>
      </w:r>
      <w:r w:rsidRPr="00DB2AB1">
        <w:fldChar w:fldCharType="end"/>
      </w:r>
      <w:r w:rsidR="00C12C32" w:rsidRPr="00DB2AB1">
        <w:t xml:space="preserve"> Yes </w:t>
      </w:r>
      <w:r w:rsidR="00C12C32" w:rsidRPr="00DB2AB1">
        <w:rPr>
          <w:b/>
        </w:rPr>
        <w:t>(# of days</w:t>
      </w:r>
      <w:r w:rsidR="00C12C32" w:rsidRPr="00DB2AB1">
        <w:t>):</w:t>
      </w:r>
    </w:p>
    <w:p w:rsidR="00C12C32" w:rsidRDefault="00C55FB7" w:rsidP="00C12C32">
      <w:pPr>
        <w:rPr>
          <w:rStyle w:val="Heading2Char"/>
          <w:rFonts w:eastAsiaTheme="minorHAnsi"/>
        </w:rPr>
      </w:pPr>
      <w:r w:rsidRPr="00DB2AB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2C32" w:rsidRPr="00DB2AB1">
        <w:instrText xml:space="preserve"> FORMCHECKBOX </w:instrText>
      </w:r>
      <w:r>
        <w:fldChar w:fldCharType="separate"/>
      </w:r>
      <w:r w:rsidRPr="00DB2AB1">
        <w:fldChar w:fldCharType="end"/>
      </w:r>
      <w:r w:rsidR="00C12C32" w:rsidRPr="00DB2AB1">
        <w:t xml:space="preserve"> No (</w:t>
      </w:r>
      <w:r w:rsidR="00C12C32" w:rsidRPr="00DB2AB1">
        <w:rPr>
          <w:b/>
        </w:rPr>
        <w:t>Leave rest of form blank)</w:t>
      </w:r>
      <w:r w:rsidR="00C12C32" w:rsidRPr="00DB2AB1">
        <w:rPr>
          <w:rStyle w:val="Heading2Char"/>
          <w:rFonts w:eastAsiaTheme="minorHAnsi"/>
        </w:rPr>
        <w:t xml:space="preserve"> </w:t>
      </w:r>
    </w:p>
    <w:tbl>
      <w:tblPr>
        <w:tblW w:w="11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00"/>
        <w:gridCol w:w="2360"/>
        <w:gridCol w:w="1960"/>
        <w:gridCol w:w="1420"/>
        <w:gridCol w:w="1360"/>
        <w:gridCol w:w="1360"/>
      </w:tblGrid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Dietary Suppl</w:t>
            </w:r>
            <w:r w:rsidR="001927D8">
              <w:rPr>
                <w:rFonts w:ascii="Calibri" w:eastAsia="Times New Roman" w:hAnsi="Calibri" w:cs="Times New Roman"/>
                <w:b/>
                <w:bCs/>
                <w:color w:val="000000"/>
              </w:rPr>
              <w:t>ement</w:t>
            </w: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Generic Name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46D80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Brand/formulation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Dose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360" w:type="dxa"/>
          </w:tcPr>
          <w:p w:rsidR="00D122FD" w:rsidRPr="00D122FD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Route</w:t>
            </w: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2FD" w:rsidRPr="00287962" w:rsidTr="00D122FD">
        <w:trPr>
          <w:trHeight w:val="9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Multivitamin or Multivitamin/Mineral Supplements</w:t>
            </w:r>
            <w:r w:rsidR="002B7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(list)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89432E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  <w:r w:rsidR="00D46D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D122FD"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Nutrients (Vitamins)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biotin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folic acid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folinic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B1 (thiamin)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B2 (riboflavin)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B3 (niacin)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B6 (pyridoxine)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B12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cobalamin</w:t>
            </w:r>
            <w:proofErr w:type="spellEnd"/>
            <w:r w:rsidR="001927D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C (ascorbic acid)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D2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ergocalciferol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D3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cholecalciferol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E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tocopherol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Vitamin K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phylloquinone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89432E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</w:t>
            </w:r>
            <w:r w:rsidR="00D122FD"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Nutrients (Minerals)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Calcium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Magnesium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Phosphorus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Selenium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Other Supplements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Arginine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Carnitine 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Citrate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Citrulline</w:t>
            </w:r>
            <w:proofErr w:type="spellEnd"/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46D80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Coenzyme Q10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Creatine</w:t>
            </w:r>
            <w:proofErr w:type="spellEnd"/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Lipoic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 acid (</w:t>
            </w: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thioctic</w:t>
            </w:r>
            <w:proofErr w:type="spellEnd"/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 acid)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N-acetyl cysteine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color w:val="000000"/>
              </w:rPr>
              <w:t>Succinate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62">
              <w:rPr>
                <w:rFonts w:ascii="Calibri" w:eastAsia="Times New Roman" w:hAnsi="Calibri" w:cs="Times New Roman"/>
                <w:color w:val="000000"/>
              </w:rPr>
              <w:t>Uridne</w:t>
            </w:r>
            <w:proofErr w:type="spellEnd"/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Other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9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dietary supplements not listed above 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900"/>
        </w:trPr>
        <w:tc>
          <w:tcPr>
            <w:tcW w:w="2900" w:type="dxa"/>
            <w:shd w:val="clear" w:color="auto" w:fill="auto"/>
            <w:hideMark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Specially Compounded</w:t>
            </w:r>
            <w:r w:rsidRPr="0028796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</w:t>
            </w:r>
            <w:r w:rsidR="00690377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Pr="0028796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ions </w:t>
            </w:r>
            <w:r w:rsidRPr="00287962">
              <w:rPr>
                <w:rFonts w:ascii="Calibri" w:eastAsia="Times New Roman" w:hAnsi="Calibri" w:cs="Times New Roman"/>
                <w:color w:val="000000"/>
              </w:rPr>
              <w:t>(list ingredients)</w:t>
            </w:r>
          </w:p>
        </w:tc>
        <w:tc>
          <w:tcPr>
            <w:tcW w:w="2360" w:type="dxa"/>
            <w:shd w:val="clear" w:color="auto" w:fill="auto"/>
            <w:hideMark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D122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2FD" w:rsidRPr="00287962" w:rsidTr="00D122FD">
        <w:trPr>
          <w:trHeight w:val="300"/>
        </w:trPr>
        <w:tc>
          <w:tcPr>
            <w:tcW w:w="290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D122FD" w:rsidRPr="00287962" w:rsidRDefault="00D122FD" w:rsidP="0028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C636B" w:rsidRDefault="004C636B"/>
    <w:p w:rsidR="00C12C32" w:rsidRDefault="004C636B">
      <w:pPr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t xml:space="preserve">Select from the following for </w:t>
      </w:r>
      <w:r w:rsidR="00690377">
        <w:t xml:space="preserve">dietary </w:t>
      </w:r>
      <w:r>
        <w:t>supplement route</w:t>
      </w:r>
      <w:r w:rsidR="00690377">
        <w:t xml:space="preserve"> of administration</w:t>
      </w:r>
      <w:r>
        <w:t>: Buccal, Inhaled, Intramuscular, Intravenous/Parenteral, Nasal, By Mouth, Enteral (via tube) Subcutaneous, Sublingual, Transdermal, Unknown, Other specify</w:t>
      </w:r>
      <w:r w:rsidR="00C12C32">
        <w:br w:type="page"/>
      </w:r>
    </w:p>
    <w:p w:rsidR="00C12C32" w:rsidRPr="00DB2AB1" w:rsidRDefault="00C12C32" w:rsidP="00C12C32">
      <w:pPr>
        <w:pStyle w:val="Heading2"/>
      </w:pPr>
      <w:r w:rsidRPr="00DB2AB1">
        <w:lastRenderedPageBreak/>
        <w:t>General Instructions</w:t>
      </w:r>
      <w:r w:rsidR="007E206C">
        <w:rPr>
          <w:rStyle w:val="EndnoteReference"/>
        </w:rPr>
        <w:endnoteReference w:id="1"/>
      </w:r>
    </w:p>
    <w:p w:rsidR="00C12C32" w:rsidRPr="00DB2AB1" w:rsidRDefault="00C12C32" w:rsidP="00C12C32">
      <w:r>
        <w:t>Collecting dietary supplements</w:t>
      </w:r>
      <w:r w:rsidRPr="00DB2AB1">
        <w:t xml:space="preserve"> taken prior to the study in a defined time window (e.g., 30 days) is important when there may be potential interactions with the study intervention. Thus, a potential participant/subject may need to stop a </w:t>
      </w:r>
      <w:r>
        <w:t xml:space="preserve">dietary supplement </w:t>
      </w:r>
      <w:r w:rsidRPr="00DB2AB1">
        <w:t>prior to starting the study intervention (washout period). Furthermore, the study exclusion crite</w:t>
      </w:r>
      <w:r>
        <w:t>ria may identify dietary supplement</w:t>
      </w:r>
      <w:r w:rsidRPr="00DB2AB1">
        <w:t>s that cannot be taken during t</w:t>
      </w:r>
      <w:r>
        <w:t>he study and so prior dietary supplement</w:t>
      </w:r>
      <w:r w:rsidRPr="00DB2AB1">
        <w:t>s are identified to determine whether an individual may be eligible for the study.</w:t>
      </w:r>
    </w:p>
    <w:p w:rsidR="00C12C32" w:rsidRPr="00DB2AB1" w:rsidRDefault="00C12C32" w:rsidP="00C12C32">
      <w:r w:rsidRPr="00DB2AB1">
        <w:t xml:space="preserve">Collecting concomitant </w:t>
      </w:r>
      <w:r>
        <w:t>dietary supplement</w:t>
      </w:r>
      <w:r w:rsidRPr="00DB2AB1">
        <w:t>s taken during a study is also importa</w:t>
      </w:r>
      <w:r>
        <w:t>nt for safety reasons. Some dietary supplement</w:t>
      </w:r>
      <w:r w:rsidRPr="00DB2AB1">
        <w:t>s may interact with the study intervention and must not be taken during the study. Addi</w:t>
      </w:r>
      <w:r>
        <w:t>tionally, there may be some dietary supplement</w:t>
      </w:r>
      <w:r w:rsidRPr="00DB2AB1">
        <w:t xml:space="preserve">s that are not known to interact with the study intervention and may be identified through an adverse event. It may be helpful to ask study participants/subjects or their caregivers to bring </w:t>
      </w:r>
      <w:r>
        <w:t xml:space="preserve">dietary supplements in their original containers </w:t>
      </w:r>
      <w:r w:rsidRPr="00DB2AB1">
        <w:t>to follow-u</w:t>
      </w:r>
      <w:r>
        <w:t>p visits so that they</w:t>
      </w:r>
      <w:r w:rsidRPr="00DB2AB1">
        <w:t xml:space="preserve"> can be more easily and accurately recorded on the CRF.</w:t>
      </w:r>
      <w:r>
        <w:t xml:space="preserve"> Alternatively, the Dietary Supplement Label Data Base </w:t>
      </w:r>
      <w:r w:rsidR="000972D2">
        <w:t>(</w:t>
      </w:r>
      <w:hyperlink r:id="rId8" w:history="1">
        <w:r w:rsidR="000972D2" w:rsidRPr="00FD1B61">
          <w:rPr>
            <w:rStyle w:val="Hyperlink"/>
          </w:rPr>
          <w:t>http://www.dsld.nlm.nih.gov/dsld/</w:t>
        </w:r>
      </w:hyperlink>
      <w:r w:rsidR="000972D2">
        <w:t xml:space="preserve">) may be used with </w:t>
      </w:r>
      <w:r w:rsidR="000972D2" w:rsidRPr="00DB2AB1">
        <w:t>study participants/subjects</w:t>
      </w:r>
      <w:r w:rsidR="000972D2">
        <w:t xml:space="preserve"> to identify specific products purchased commercially</w:t>
      </w:r>
      <w:r w:rsidR="000972D2" w:rsidRPr="004675F0">
        <w:t xml:space="preserve">. </w:t>
      </w:r>
      <w:r w:rsidR="003B0668" w:rsidRPr="004675F0">
        <w:t>(Note: Because t</w:t>
      </w:r>
      <w:r w:rsidR="000972D2" w:rsidRPr="004675F0">
        <w:t xml:space="preserve">here are </w:t>
      </w:r>
      <w:r w:rsidR="003B0668" w:rsidRPr="004675F0">
        <w:t>over 55,000 dietary supplement products on the market and new products continually appear, the data base may not contain the specific product you are seeking.)</w:t>
      </w:r>
      <w:r w:rsidR="003B0668">
        <w:t xml:space="preserve"> </w:t>
      </w:r>
    </w:p>
    <w:p w:rsidR="00C12C32" w:rsidRPr="00DB2AB1" w:rsidRDefault="007C4307" w:rsidP="00C12C32">
      <w:r>
        <w:t>In addition to this</w:t>
      </w:r>
      <w:bookmarkStart w:id="0" w:name="_GoBack"/>
      <w:bookmarkEnd w:id="0"/>
      <w:r>
        <w:t xml:space="preserve"> Dietary Supplements form, t</w:t>
      </w:r>
      <w:r w:rsidR="00C12C32" w:rsidRPr="00DB2AB1">
        <w:t>he Prior and Concomitant Medications form should be filled out at the baseline visit and every study visit/time point thereafter.</w:t>
      </w:r>
    </w:p>
    <w:p w:rsidR="00C12C32" w:rsidRPr="00DB2AB1" w:rsidRDefault="00C12C32" w:rsidP="00C12C32">
      <w:r w:rsidRPr="00722294">
        <w:rPr>
          <w:color w:val="000000"/>
        </w:rPr>
        <w:t>Important note: None of the data elements included on this CRF are considered Core (i.e., strongly recommended for all studies to collect). These data elements are supplem</w:t>
      </w:r>
      <w:r w:rsidR="00D4782F" w:rsidRPr="00722294">
        <w:rPr>
          <w:color w:val="000000"/>
        </w:rPr>
        <w:t>ental and should be collected for clinical trials</w:t>
      </w:r>
      <w:r w:rsidRPr="00722294">
        <w:rPr>
          <w:color w:val="000000"/>
        </w:rPr>
        <w:t xml:space="preserve"> if the research team considers them appropriate for their study.</w:t>
      </w:r>
    </w:p>
    <w:p w:rsidR="00C12C32" w:rsidRPr="00DB2AB1" w:rsidRDefault="00C12C32" w:rsidP="00C12C32">
      <w:pPr>
        <w:pStyle w:val="Heading2"/>
      </w:pPr>
      <w:r w:rsidRPr="00DB2AB1">
        <w:t>Specific Instructions</w:t>
      </w:r>
    </w:p>
    <w:p w:rsidR="00C12C32" w:rsidRPr="00DB2AB1" w:rsidRDefault="00C12C32" w:rsidP="00C12C32">
      <w:pPr>
        <w:tabs>
          <w:tab w:val="left" w:pos="720"/>
        </w:tabs>
        <w:spacing w:after="120" w:line="360" w:lineRule="auto"/>
        <w:rPr>
          <w:rFonts w:cs="Arial"/>
          <w:i/>
          <w:sz w:val="24"/>
          <w:szCs w:val="24"/>
        </w:rPr>
      </w:pPr>
      <w:r w:rsidRPr="00CC1BEB">
        <w:rPr>
          <w:i/>
        </w:rPr>
        <w:t>Please see the Data Dictionary for definitions for each of the data elements included in this CRF Module</w:t>
      </w:r>
      <w:r w:rsidRPr="00DB2AB1">
        <w:rPr>
          <w:rFonts w:cs="Arial"/>
          <w:i/>
          <w:sz w:val="24"/>
          <w:szCs w:val="24"/>
        </w:rPr>
        <w:t>.</w:t>
      </w:r>
    </w:p>
    <w:p w:rsidR="00C12C32" w:rsidRPr="00DB2AB1" w:rsidRDefault="003B0668" w:rsidP="00C12C32">
      <w:pPr>
        <w:pStyle w:val="ListParagraph"/>
        <w:numPr>
          <w:ilvl w:val="0"/>
          <w:numId w:val="1"/>
        </w:numPr>
        <w:spacing w:after="60"/>
      </w:pPr>
      <w:r>
        <w:rPr>
          <w:b/>
        </w:rPr>
        <w:t>Any Dietary Supplement</w:t>
      </w:r>
      <w:r w:rsidR="00C12C32" w:rsidRPr="00CC1BEB">
        <w:rPr>
          <w:b/>
        </w:rPr>
        <w:t>s?</w:t>
      </w:r>
      <w:r w:rsidR="00C12C32" w:rsidRPr="00DB2AB1">
        <w:t xml:space="preserve"> – Choose one. If this question is answered YES then at least </w:t>
      </w:r>
      <w:r>
        <w:t>one prior/concomitant dietary supplement</w:t>
      </w:r>
      <w:r w:rsidR="00C12C32" w:rsidRPr="00DB2AB1">
        <w:t xml:space="preserve"> record needs to be recorded.</w:t>
      </w:r>
      <w:r>
        <w:t xml:space="preserve"> Do NOT record study dietary supplement</w:t>
      </w:r>
      <w:r w:rsidR="00C12C32" w:rsidRPr="00DB2AB1">
        <w:t>s taken (if study has</w:t>
      </w:r>
      <w:r>
        <w:t xml:space="preserve"> a dietary supplement</w:t>
      </w:r>
      <w:r w:rsidR="00C12C32" w:rsidRPr="00DB2AB1">
        <w:t xml:space="preserve"> intervention) on this form. </w:t>
      </w:r>
    </w:p>
    <w:p w:rsidR="00D349BA" w:rsidRDefault="003B0668" w:rsidP="00A25F19">
      <w:pPr>
        <w:pStyle w:val="ListParagraph"/>
        <w:numPr>
          <w:ilvl w:val="0"/>
          <w:numId w:val="1"/>
        </w:numPr>
        <w:spacing w:after="60"/>
      </w:pPr>
      <w:r w:rsidRPr="00D349BA">
        <w:rPr>
          <w:b/>
        </w:rPr>
        <w:t>Dietary Supplement Generic</w:t>
      </w:r>
      <w:r w:rsidR="00C12C32" w:rsidRPr="00D349BA">
        <w:rPr>
          <w:b/>
        </w:rPr>
        <w:t xml:space="preserve"> Name</w:t>
      </w:r>
      <w:r w:rsidR="00C12C32" w:rsidRPr="00DB2AB1">
        <w:t xml:space="preserve"> – Record the verbatim name (generic or trade name)</w:t>
      </w:r>
      <w:r w:rsidR="00D349BA">
        <w:t xml:space="preserve"> of the dietary supplement(s)</w:t>
      </w:r>
      <w:r w:rsidR="00C12C32" w:rsidRPr="00DB2AB1">
        <w:t xml:space="preserve"> the participant/subject reports taking. </w:t>
      </w:r>
      <w:r w:rsidR="00D349BA">
        <w:t xml:space="preserve">Dietary supplements may be taken as </w:t>
      </w:r>
      <w:r w:rsidR="00A25F19">
        <w:t xml:space="preserve">a commercial multivitamin or multivitamin/mineral </w:t>
      </w:r>
      <w:r w:rsidR="00A25F19">
        <w:lastRenderedPageBreak/>
        <w:t xml:space="preserve">preparation (e.g. a children’s chewable multivitamin), </w:t>
      </w:r>
      <w:r w:rsidR="00D349BA">
        <w:t xml:space="preserve">individual nutrients (e.g., individual vitamins or minerals), </w:t>
      </w:r>
      <w:r w:rsidR="0063018C">
        <w:t>or specially compounded formulations (e.g., a mitochondrial specific formulation which may be referred to as a “mitochondrial cocktail”</w:t>
      </w:r>
      <w:r w:rsidR="00A25F19">
        <w:t>)</w:t>
      </w:r>
      <w:r w:rsidR="0063018C">
        <w:t>.</w:t>
      </w:r>
    </w:p>
    <w:p w:rsidR="00A25F19" w:rsidRPr="00A25F19" w:rsidRDefault="00D4782F" w:rsidP="00C12C32">
      <w:pPr>
        <w:pStyle w:val="ListParagraph"/>
        <w:numPr>
          <w:ilvl w:val="0"/>
          <w:numId w:val="1"/>
        </w:numPr>
        <w:spacing w:after="60"/>
      </w:pPr>
      <w:r>
        <w:rPr>
          <w:b/>
        </w:rPr>
        <w:t>Brand/formulation</w:t>
      </w:r>
      <w:r w:rsidR="00A25F19">
        <w:rPr>
          <w:b/>
        </w:rPr>
        <w:t>-</w:t>
      </w:r>
      <w:r w:rsidR="00A25F19">
        <w:t>record the brand name</w:t>
      </w:r>
      <w:r w:rsidR="00B55466">
        <w:t xml:space="preserve"> </w:t>
      </w:r>
      <w:r>
        <w:t>and chemical form</w:t>
      </w:r>
      <w:r w:rsidR="00A25F19">
        <w:t>.</w:t>
      </w:r>
      <w:r>
        <w:t xml:space="preserve"> For example, for calcium, indicate if it is calcium carbonate, calcium citrate, etc. For coenzyme Q10, note if it is </w:t>
      </w:r>
      <w:proofErr w:type="spellStart"/>
      <w:r>
        <w:t>ubiquinol</w:t>
      </w:r>
      <w:proofErr w:type="spellEnd"/>
      <w:r>
        <w:t xml:space="preserve">, </w:t>
      </w:r>
      <w:proofErr w:type="spellStart"/>
      <w:r>
        <w:t>ubiquinone</w:t>
      </w:r>
      <w:proofErr w:type="spellEnd"/>
      <w:r>
        <w:t xml:space="preserve">, </w:t>
      </w:r>
      <w:proofErr w:type="spellStart"/>
      <w:r>
        <w:t>idebenone</w:t>
      </w:r>
      <w:proofErr w:type="spellEnd"/>
      <w:r>
        <w:t xml:space="preserve">, </w:t>
      </w:r>
      <w:proofErr w:type="spellStart"/>
      <w:r>
        <w:t>MitoQ</w:t>
      </w:r>
      <w:proofErr w:type="spellEnd"/>
      <w:r>
        <w:t>, etc.</w:t>
      </w:r>
      <w:r w:rsidR="00A25F19">
        <w:t xml:space="preserve"> </w:t>
      </w:r>
    </w:p>
    <w:p w:rsidR="004610AA" w:rsidRDefault="00C12C32" w:rsidP="00C12C32">
      <w:pPr>
        <w:pStyle w:val="ListParagraph"/>
        <w:numPr>
          <w:ilvl w:val="0"/>
          <w:numId w:val="1"/>
        </w:numPr>
        <w:spacing w:after="60"/>
      </w:pPr>
      <w:r w:rsidRPr="004610AA">
        <w:rPr>
          <w:b/>
        </w:rPr>
        <w:t xml:space="preserve">Indication </w:t>
      </w:r>
      <w:r w:rsidRPr="00DB2AB1">
        <w:t>– Record the reason the participant/subject gi</w:t>
      </w:r>
      <w:r w:rsidR="004610AA">
        <w:t>ves for taking the dietary supplement</w:t>
      </w:r>
      <w:r w:rsidRPr="00DB2AB1">
        <w:t xml:space="preserve">. </w:t>
      </w:r>
    </w:p>
    <w:p w:rsidR="00C12C32" w:rsidRPr="00DB2AB1" w:rsidRDefault="00C12C32" w:rsidP="00C12C32">
      <w:pPr>
        <w:pStyle w:val="ListParagraph"/>
        <w:numPr>
          <w:ilvl w:val="0"/>
          <w:numId w:val="1"/>
        </w:numPr>
        <w:spacing w:after="60"/>
      </w:pPr>
      <w:r w:rsidRPr="004610AA">
        <w:rPr>
          <w:b/>
        </w:rPr>
        <w:t xml:space="preserve">Dose </w:t>
      </w:r>
      <w:r w:rsidRPr="00DB2AB1">
        <w:t>– Record the stre</w:t>
      </w:r>
      <w:r w:rsidR="004610AA">
        <w:t>ngth and units of the dietary supplement</w:t>
      </w:r>
      <w:r w:rsidRPr="00DB2AB1">
        <w:t xml:space="preserve"> the participant/subject is taking. </w:t>
      </w:r>
    </w:p>
    <w:p w:rsidR="00C12C32" w:rsidRPr="00DB2AB1" w:rsidRDefault="00C12C32" w:rsidP="00C12C32">
      <w:pPr>
        <w:pStyle w:val="ListParagraph"/>
        <w:numPr>
          <w:ilvl w:val="0"/>
          <w:numId w:val="1"/>
        </w:numPr>
        <w:spacing w:after="60"/>
      </w:pPr>
      <w:r w:rsidRPr="00CC1BEB">
        <w:rPr>
          <w:b/>
        </w:rPr>
        <w:t xml:space="preserve">Frequency </w:t>
      </w:r>
      <w:r w:rsidRPr="00DB2AB1">
        <w:t>- Record how often the medication is being taken.  .</w:t>
      </w:r>
    </w:p>
    <w:p w:rsidR="00C12C32" w:rsidRPr="00DB2AB1" w:rsidRDefault="00C12C32" w:rsidP="00C12C32">
      <w:pPr>
        <w:pStyle w:val="ListParagraph"/>
        <w:numPr>
          <w:ilvl w:val="0"/>
          <w:numId w:val="1"/>
        </w:numPr>
        <w:spacing w:after="60"/>
      </w:pPr>
      <w:r w:rsidRPr="00CC1BEB">
        <w:rPr>
          <w:b/>
        </w:rPr>
        <w:t xml:space="preserve">Route </w:t>
      </w:r>
      <w:r w:rsidRPr="00DB2AB1">
        <w:t>– Record the route of administration. Acceptable responses for Rout</w:t>
      </w:r>
      <w:r w:rsidR="00A25F19">
        <w:t>e are shown below the</w:t>
      </w:r>
      <w:r w:rsidRPr="00DB2AB1">
        <w:t xml:space="preserve"> table.</w:t>
      </w:r>
    </w:p>
    <w:p w:rsidR="0082730E" w:rsidRPr="005E32BB" w:rsidRDefault="0082730E" w:rsidP="005E32BB"/>
    <w:sectPr w:rsidR="0082730E" w:rsidRPr="005E32BB" w:rsidSect="00287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94" w:rsidRDefault="00722294" w:rsidP="005E32BB">
      <w:pPr>
        <w:spacing w:after="0" w:line="240" w:lineRule="auto"/>
      </w:pPr>
      <w:r>
        <w:separator/>
      </w:r>
    </w:p>
  </w:endnote>
  <w:endnote w:type="continuationSeparator" w:id="0">
    <w:p w:rsidR="00722294" w:rsidRDefault="00722294" w:rsidP="005E32BB">
      <w:pPr>
        <w:spacing w:after="0" w:line="240" w:lineRule="auto"/>
      </w:pPr>
      <w:r>
        <w:continuationSeparator/>
      </w:r>
    </w:p>
  </w:endnote>
  <w:endnote w:id="1">
    <w:p w:rsidR="00722294" w:rsidRDefault="0072229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</w:rPr>
        <w:t>This form includes elements from the NAMDC Dietary Supplements Patient Survey (</w:t>
      </w:r>
      <w:proofErr w:type="spellStart"/>
      <w:r w:rsidRPr="007E206C">
        <w:rPr>
          <w:color w:val="000000"/>
        </w:rPr>
        <w:t>Amel</w:t>
      </w:r>
      <w:proofErr w:type="spellEnd"/>
      <w:r w:rsidRPr="007E206C">
        <w:rPr>
          <w:color w:val="000000"/>
        </w:rPr>
        <w:t xml:space="preserve"> Karaa, MD</w:t>
      </w:r>
      <w:r>
        <w:rPr>
          <w:color w:val="000000"/>
        </w:rPr>
        <w:t xml:space="preserve">; </w:t>
      </w:r>
      <w:r w:rsidRPr="007E206C">
        <w:rPr>
          <w:color w:val="000000"/>
        </w:rPr>
        <w:t>Sumit Parikh, MD</w:t>
      </w:r>
      <w:r>
        <w:rPr>
          <w:color w:val="000000"/>
        </w:rPr>
        <w:t>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8" w:rsidRDefault="001927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8" w:rsidRPr="00593118" w:rsidRDefault="001927D8" w:rsidP="001927D8">
    <w:pPr>
      <w:tabs>
        <w:tab w:val="right" w:pos="10800"/>
      </w:tabs>
    </w:pPr>
    <w:r>
      <w:rPr>
        <w:rFonts w:cs="Arial"/>
      </w:rPr>
      <w:t xml:space="preserve">Mito </w:t>
    </w:r>
    <w:r w:rsidRPr="00593118">
      <w:rPr>
        <w:rFonts w:cs="Arial"/>
      </w:rPr>
      <w:t xml:space="preserve">Version </w:t>
    </w:r>
    <w:r>
      <w:rPr>
        <w:rFonts w:cs="Arial"/>
      </w:rPr>
      <w:t>1</w:t>
    </w:r>
    <w:r w:rsidRPr="00593118">
      <w:rPr>
        <w:rFonts w:cs="Arial"/>
      </w:rPr>
      <w:t>.0</w:t>
    </w:r>
    <w:r>
      <w:rPr>
        <w:rFonts w:cs="Arial"/>
      </w:rPr>
      <w:tab/>
    </w:r>
    <w:r w:rsidRPr="00593118">
      <w:t xml:space="preserve">Page </w:t>
    </w:r>
    <w:fldSimple w:instr=" PAGE ">
      <w:r>
        <w:rPr>
          <w:noProof/>
        </w:rPr>
        <w:t>2</w:t>
      </w:r>
    </w:fldSimple>
    <w:r w:rsidRPr="00593118">
      <w:t xml:space="preserve"> of </w:t>
    </w:r>
    <w:fldSimple w:instr=" NUMPAGES  ">
      <w:r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8" w:rsidRDefault="00192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94" w:rsidRDefault="00722294" w:rsidP="005E32BB">
      <w:pPr>
        <w:spacing w:after="0" w:line="240" w:lineRule="auto"/>
      </w:pPr>
      <w:r>
        <w:separator/>
      </w:r>
    </w:p>
  </w:footnote>
  <w:footnote w:type="continuationSeparator" w:id="0">
    <w:p w:rsidR="00722294" w:rsidRDefault="00722294" w:rsidP="005E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8" w:rsidRDefault="001927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94" w:rsidRPr="0082730E" w:rsidRDefault="00722294" w:rsidP="005E32BB">
    <w:pPr>
      <w:jc w:val="center"/>
      <w:rPr>
        <w:rFonts w:ascii="Arial" w:hAnsi="Arial" w:cs="Arial"/>
        <w:b/>
        <w:sz w:val="28"/>
        <w:szCs w:val="28"/>
      </w:rPr>
    </w:pPr>
    <w:r w:rsidRPr="0082730E">
      <w:rPr>
        <w:rFonts w:ascii="Arial" w:hAnsi="Arial" w:cs="Arial"/>
        <w:b/>
        <w:sz w:val="28"/>
        <w:szCs w:val="28"/>
      </w:rPr>
      <w:t>Dietary Supplements Used in Mitochondrial Disorders</w:t>
    </w:r>
  </w:p>
  <w:p w:rsidR="00722294" w:rsidRPr="00714C50" w:rsidRDefault="00722294" w:rsidP="0082730E">
    <w:pPr>
      <w:pStyle w:val="Header"/>
      <w:tabs>
        <w:tab w:val="left" w:pos="6300"/>
        <w:tab w:val="right" w:pos="10440"/>
      </w:tabs>
      <w:spacing w:before="120" w:after="120"/>
      <w:ind w:right="-907"/>
      <w:rPr>
        <w:rFonts w:cs="Arial"/>
        <w:b/>
        <w:sz w:val="24"/>
        <w:szCs w:val="24"/>
      </w:rPr>
    </w:pPr>
    <w:bookmarkStart w:id="1" w:name="OLE_LINK2"/>
    <w:r w:rsidRPr="00714C50">
      <w:rPr>
        <w:rFonts w:cs="Arial"/>
        <w:sz w:val="24"/>
        <w:szCs w:val="24"/>
      </w:rPr>
      <w:t>[</w:t>
    </w:r>
    <w:r w:rsidRPr="00714C50">
      <w:rPr>
        <w:rFonts w:cs="Arial"/>
        <w:i/>
        <w:sz w:val="24"/>
        <w:szCs w:val="24"/>
      </w:rPr>
      <w:t>Study Name/ID pre-filled</w:t>
    </w:r>
    <w:r w:rsidRPr="00714C50">
      <w:rPr>
        <w:rFonts w:cs="Arial"/>
        <w:sz w:val="24"/>
        <w:szCs w:val="24"/>
      </w:rPr>
      <w:t>]</w:t>
    </w:r>
    <w:r w:rsidRPr="00714C50">
      <w:rPr>
        <w:rFonts w:cs="Arial"/>
        <w:sz w:val="24"/>
        <w:szCs w:val="24"/>
      </w:rPr>
      <w:tab/>
      <w:t xml:space="preserve">Site Name: </w:t>
    </w:r>
  </w:p>
  <w:bookmarkEnd w:id="1"/>
  <w:p w:rsidR="00722294" w:rsidRPr="0082730E" w:rsidRDefault="00722294" w:rsidP="0082730E">
    <w:pPr>
      <w:pStyle w:val="Header"/>
      <w:tabs>
        <w:tab w:val="center" w:pos="6867"/>
        <w:tab w:val="left" w:pos="6930"/>
        <w:tab w:val="right" w:pos="10440"/>
      </w:tabs>
      <w:spacing w:before="120" w:after="120"/>
      <w:ind w:right="-907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</w:r>
    <w:r w:rsidRPr="00714C50">
      <w:rPr>
        <w:rFonts w:cs="Arial"/>
        <w:sz w:val="24"/>
        <w:szCs w:val="24"/>
      </w:rPr>
      <w:t xml:space="preserve">Subject ID: </w:t>
    </w:r>
  </w:p>
  <w:p w:rsidR="00722294" w:rsidRDefault="007222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D8" w:rsidRDefault="00192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17B"/>
    <w:multiLevelType w:val="hybridMultilevel"/>
    <w:tmpl w:val="C3FE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2BB"/>
    <w:rsid w:val="0002110C"/>
    <w:rsid w:val="000972D2"/>
    <w:rsid w:val="000A5AB8"/>
    <w:rsid w:val="000F61C2"/>
    <w:rsid w:val="001014A3"/>
    <w:rsid w:val="001927D8"/>
    <w:rsid w:val="00287962"/>
    <w:rsid w:val="002B7A10"/>
    <w:rsid w:val="003B0668"/>
    <w:rsid w:val="004610AA"/>
    <w:rsid w:val="004675F0"/>
    <w:rsid w:val="004C636B"/>
    <w:rsid w:val="005E32BB"/>
    <w:rsid w:val="005E42E6"/>
    <w:rsid w:val="0063018C"/>
    <w:rsid w:val="00677ADB"/>
    <w:rsid w:val="00690377"/>
    <w:rsid w:val="00722294"/>
    <w:rsid w:val="007C4307"/>
    <w:rsid w:val="007E206C"/>
    <w:rsid w:val="0082730E"/>
    <w:rsid w:val="0089432E"/>
    <w:rsid w:val="00A25F19"/>
    <w:rsid w:val="00B55466"/>
    <w:rsid w:val="00C12C32"/>
    <w:rsid w:val="00C26CFA"/>
    <w:rsid w:val="00C55FB7"/>
    <w:rsid w:val="00D122FD"/>
    <w:rsid w:val="00D349BA"/>
    <w:rsid w:val="00D46D80"/>
    <w:rsid w:val="00D4782F"/>
    <w:rsid w:val="00D81C48"/>
    <w:rsid w:val="00E8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FA"/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C12C32"/>
    <w:pPr>
      <w:keepLines w:val="0"/>
      <w:spacing w:before="240" w:after="60" w:line="360" w:lineRule="auto"/>
      <w:outlineLvl w:val="1"/>
    </w:pPr>
    <w:rPr>
      <w:rFonts w:ascii="Arial" w:eastAsia="Times New Roman" w:hAnsi="Arial" w:cs="Arial"/>
      <w:b w:val="0"/>
      <w:i w:val="0"/>
      <w:iCs w:val="0"/>
      <w:color w:val="auto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BB"/>
  </w:style>
  <w:style w:type="paragraph" w:styleId="Footer">
    <w:name w:val="footer"/>
    <w:basedOn w:val="Normal"/>
    <w:link w:val="FooterChar"/>
    <w:uiPriority w:val="99"/>
    <w:unhideWhenUsed/>
    <w:rsid w:val="005E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BB"/>
  </w:style>
  <w:style w:type="paragraph" w:styleId="BalloonText">
    <w:name w:val="Balloon Text"/>
    <w:basedOn w:val="Normal"/>
    <w:link w:val="BalloonTextChar"/>
    <w:uiPriority w:val="99"/>
    <w:semiHidden/>
    <w:unhideWhenUsed/>
    <w:rsid w:val="005E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7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30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30E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2C32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12C3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72D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B8"/>
    <w:pPr>
      <w:spacing w:after="20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AB8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0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0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2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C12C32"/>
    <w:pPr>
      <w:keepLines w:val="0"/>
      <w:spacing w:before="240" w:after="60" w:line="360" w:lineRule="auto"/>
      <w:outlineLvl w:val="1"/>
    </w:pPr>
    <w:rPr>
      <w:rFonts w:ascii="Arial" w:eastAsia="Times New Roman" w:hAnsi="Arial" w:cs="Arial"/>
      <w:b w:val="0"/>
      <w:i w:val="0"/>
      <w:iCs w:val="0"/>
      <w:color w:val="auto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BB"/>
  </w:style>
  <w:style w:type="paragraph" w:styleId="Footer">
    <w:name w:val="footer"/>
    <w:basedOn w:val="Normal"/>
    <w:link w:val="FooterChar"/>
    <w:uiPriority w:val="99"/>
    <w:unhideWhenUsed/>
    <w:rsid w:val="005E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BB"/>
  </w:style>
  <w:style w:type="paragraph" w:styleId="BalloonText">
    <w:name w:val="Balloon Text"/>
    <w:basedOn w:val="Normal"/>
    <w:link w:val="BalloonTextChar"/>
    <w:uiPriority w:val="99"/>
    <w:semiHidden/>
    <w:unhideWhenUsed/>
    <w:rsid w:val="005E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7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30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30E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2C32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12C3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72D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B8"/>
    <w:pPr>
      <w:spacing w:after="20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AB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d.nlm.nih.gov/dsl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749D-2006-419D-A447-CD46B054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Camp, Kathryn (NIH/OD) [C]</dc:creator>
  <cp:lastModifiedBy>Sherita Alai</cp:lastModifiedBy>
  <cp:revision>5</cp:revision>
  <dcterms:created xsi:type="dcterms:W3CDTF">2014-10-02T15:58:00Z</dcterms:created>
  <dcterms:modified xsi:type="dcterms:W3CDTF">2015-02-11T14:04:00Z</dcterms:modified>
</cp:coreProperties>
</file>