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8B" w:rsidRPr="005A4A8B" w:rsidRDefault="00BC0951" w:rsidP="005A4A8B">
      <w:pPr>
        <w:pStyle w:val="Caption"/>
        <w:keepNext/>
      </w:pPr>
      <w:r w:rsidRPr="005A4A8B">
        <w:fldChar w:fldCharType="begin"/>
      </w:r>
      <w:r w:rsidR="005A4A8B" w:rsidRPr="005A4A8B">
        <w:instrText xml:space="preserve"> SEQ Table \* ARABIC </w:instrText>
      </w:r>
      <w:r w:rsidRPr="005A4A8B">
        <w:fldChar w:fldCharType="separate"/>
      </w:r>
      <w:r w:rsidR="005A4A8B" w:rsidRPr="005A4A8B">
        <w:rPr>
          <w:noProof/>
        </w:rPr>
        <w:t>1</w:t>
      </w:r>
      <w:r w:rsidRPr="005A4A8B">
        <w:fldChar w:fldCharType="end"/>
      </w:r>
      <w:r w:rsidR="005A4A8B" w:rsidRPr="005A4A8B">
        <w:t>: OCT Analysis</w:t>
      </w:r>
      <w:r w:rsidR="004E540C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04"/>
        <w:gridCol w:w="2503"/>
        <w:gridCol w:w="2526"/>
      </w:tblGrid>
      <w:tr w:rsidR="005A4A8B" w:rsidTr="00FA65D3">
        <w:trPr>
          <w:cantSplit/>
          <w:tblHeader/>
        </w:trPr>
        <w:tc>
          <w:tcPr>
            <w:tcW w:w="2574" w:type="dxa"/>
            <w:vAlign w:val="center"/>
          </w:tcPr>
          <w:p w:rsidR="005A4A8B" w:rsidRDefault="00FA65D3" w:rsidP="005A4A8B">
            <w:pPr>
              <w:jc w:val="center"/>
            </w:pPr>
            <w:r>
              <w:t>Intentionally left blank</w:t>
            </w:r>
          </w:p>
        </w:tc>
        <w:tc>
          <w:tcPr>
            <w:tcW w:w="2574" w:type="dxa"/>
            <w:vAlign w:val="center"/>
          </w:tcPr>
          <w:p w:rsidR="005A4A8B" w:rsidRDefault="005A4A8B" w:rsidP="005A4A8B">
            <w:pPr>
              <w:jc w:val="center"/>
            </w:pPr>
            <w:r w:rsidRPr="00810E21">
              <w:t>OD</w:t>
            </w:r>
          </w:p>
        </w:tc>
        <w:tc>
          <w:tcPr>
            <w:tcW w:w="2574" w:type="dxa"/>
            <w:vAlign w:val="center"/>
          </w:tcPr>
          <w:p w:rsidR="005A4A8B" w:rsidRDefault="005A4A8B" w:rsidP="005A4A8B">
            <w:pPr>
              <w:jc w:val="center"/>
            </w:pPr>
            <w:r w:rsidRPr="00810E21">
              <w:t>OS</w:t>
            </w:r>
          </w:p>
        </w:tc>
        <w:tc>
          <w:tcPr>
            <w:tcW w:w="2574" w:type="dxa"/>
            <w:vAlign w:val="center"/>
          </w:tcPr>
          <w:p w:rsidR="005A4A8B" w:rsidRDefault="005A4A8B" w:rsidP="005A4A8B">
            <w:pPr>
              <w:jc w:val="center"/>
            </w:pPr>
            <w:r w:rsidRPr="00810E21">
              <w:t>Binocular</w:t>
            </w:r>
          </w:p>
        </w:tc>
      </w:tr>
      <w:tr w:rsidR="005A4A8B" w:rsidTr="00FA65D3">
        <w:trPr>
          <w:cantSplit/>
        </w:trPr>
        <w:tc>
          <w:tcPr>
            <w:tcW w:w="2574" w:type="dxa"/>
          </w:tcPr>
          <w:p w:rsidR="005A4A8B" w:rsidRDefault="005A4A8B" w:rsidP="00810E21">
            <w:r w:rsidRPr="00810E21">
              <w:t>Number of letters read correctly at 3.2 meters (high contrast visual acuity)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</w:tr>
      <w:tr w:rsidR="005A4A8B" w:rsidTr="00FA65D3">
        <w:trPr>
          <w:cantSplit/>
        </w:trPr>
        <w:tc>
          <w:tcPr>
            <w:tcW w:w="2574" w:type="dxa"/>
          </w:tcPr>
          <w:p w:rsidR="005A4A8B" w:rsidRDefault="005A4A8B" w:rsidP="00810E21">
            <w:r w:rsidRPr="00810E21">
              <w:t>Number of letters read correctly at 2 meters (low contrast Sloan letter chart 2.5%)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</w:tr>
      <w:tr w:rsidR="005A4A8B" w:rsidTr="00FA65D3">
        <w:trPr>
          <w:cantSplit/>
        </w:trPr>
        <w:tc>
          <w:tcPr>
            <w:tcW w:w="2574" w:type="dxa"/>
          </w:tcPr>
          <w:p w:rsidR="005A4A8B" w:rsidRDefault="005A4A8B" w:rsidP="00810E21">
            <w:r w:rsidRPr="00810E21">
              <w:t>Number of letters read correctly at 2 meters (low contrast Sloan letter chart 1.25%)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</w:tr>
      <w:tr w:rsidR="005A4A8B" w:rsidTr="00FA65D3">
        <w:trPr>
          <w:cantSplit/>
        </w:trPr>
        <w:tc>
          <w:tcPr>
            <w:tcW w:w="2574" w:type="dxa"/>
          </w:tcPr>
          <w:p w:rsidR="005A4A8B" w:rsidRDefault="005A4A8B" w:rsidP="00810E21">
            <w:proofErr w:type="spellStart"/>
            <w:r w:rsidRPr="00810E21">
              <w:t>Pelli</w:t>
            </w:r>
            <w:proofErr w:type="spellEnd"/>
            <w:r w:rsidRPr="00810E21">
              <w:t>-Robinson Contrast Sensitivity Test, log score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  <w:tc>
          <w:tcPr>
            <w:tcW w:w="2574" w:type="dxa"/>
          </w:tcPr>
          <w:p w:rsidR="005A4A8B" w:rsidRDefault="005A4A8B" w:rsidP="00412DA9">
            <w:r>
              <w:t>:</w:t>
            </w:r>
          </w:p>
        </w:tc>
      </w:tr>
    </w:tbl>
    <w:p w:rsidR="00CD4D66" w:rsidRPr="00810E21" w:rsidRDefault="00CD4D66" w:rsidP="00810E21">
      <w:pPr>
        <w:sectPr w:rsidR="00CD4D66" w:rsidRPr="00810E21" w:rsidSect="00CC63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D4D66" w:rsidRPr="005A4A8B" w:rsidRDefault="00CD4D66" w:rsidP="00FA65D3">
      <w:pPr>
        <w:pStyle w:val="Heading2"/>
      </w:pPr>
      <w:r w:rsidRPr="005A4A8B">
        <w:lastRenderedPageBreak/>
        <w:t>General Instructions</w:t>
      </w:r>
    </w:p>
    <w:p w:rsidR="00CC63D2" w:rsidRDefault="00CD4D66" w:rsidP="00810E21">
      <w:r w:rsidRPr="00810E21">
        <w:t>This form contains data e</w:t>
      </w:r>
      <w:r w:rsidR="003777AF" w:rsidRPr="00810E21">
        <w:t>lements that are collected to measure low- and high-contract visual acuity.</w:t>
      </w:r>
    </w:p>
    <w:p w:rsidR="000E7674" w:rsidRDefault="000E7674" w:rsidP="00810E21"/>
    <w:p w:rsidR="000E7674" w:rsidRPr="008242FC" w:rsidRDefault="000E7674" w:rsidP="000E7674">
      <w:pPr>
        <w:rPr>
          <w:rFonts w:eastAsia="Arial"/>
        </w:rPr>
      </w:pPr>
      <w:r w:rsidRPr="008242FC">
        <w:rPr>
          <w:rFonts w:eastAsia="Arial"/>
        </w:rPr>
        <w:t>All elements on this CRF are classified as Exploratory and should only be collected if the research team considers them appropriate for their study.</w:t>
      </w:r>
    </w:p>
    <w:p w:rsidR="00CD4D66" w:rsidRPr="00810E21" w:rsidRDefault="00CD4D66" w:rsidP="00FA65D3">
      <w:pPr>
        <w:pStyle w:val="Heading2"/>
      </w:pPr>
      <w:bookmarkStart w:id="0" w:name="_GoBack"/>
      <w:bookmarkEnd w:id="0"/>
      <w:r w:rsidRPr="00810E21">
        <w:t>Specific Instructions</w:t>
      </w:r>
    </w:p>
    <w:p w:rsidR="00CD4D66" w:rsidRPr="00FA65D3" w:rsidRDefault="00CD4D66" w:rsidP="00FA65D3">
      <w:pPr>
        <w:spacing w:before="120" w:after="60"/>
      </w:pPr>
      <w:r w:rsidRPr="00FA65D3">
        <w:t>Please see the Data Dictionary for definitions for each of the data elements included in this CRF Module.</w:t>
      </w:r>
    </w:p>
    <w:p w:rsidR="00CD4D66" w:rsidRPr="00810E21" w:rsidRDefault="003777AF" w:rsidP="00FA65D3">
      <w:pPr>
        <w:pStyle w:val="ListParagraph"/>
        <w:numPr>
          <w:ilvl w:val="0"/>
          <w:numId w:val="3"/>
        </w:numPr>
        <w:spacing w:before="120" w:after="60"/>
        <w:contextualSpacing w:val="0"/>
      </w:pPr>
      <w:r w:rsidRPr="00810E21">
        <w:t>Number of letters read correctly at 3.2 meters (h</w:t>
      </w:r>
      <w:r w:rsidR="00CD4D66" w:rsidRPr="00810E21">
        <w:t xml:space="preserve">igh </w:t>
      </w:r>
      <w:r w:rsidRPr="00810E21">
        <w:t>contrast v</w:t>
      </w:r>
      <w:r w:rsidR="00CD4D66" w:rsidRPr="00810E21">
        <w:t xml:space="preserve">isual </w:t>
      </w:r>
      <w:r w:rsidRPr="00810E21">
        <w:t>a</w:t>
      </w:r>
      <w:r w:rsidR="00CD4D66" w:rsidRPr="00810E21">
        <w:t>cuity</w:t>
      </w:r>
      <w:r w:rsidRPr="00810E21">
        <w:t xml:space="preserve">) </w:t>
      </w:r>
      <w:r w:rsidR="00CD4D66" w:rsidRPr="00810E21">
        <w:t>– Acceptable range for this result is 0-70.</w:t>
      </w:r>
      <w:r w:rsidR="00FA65D3">
        <w:t xml:space="preserve"> </w:t>
      </w:r>
      <w:r w:rsidR="00AB50D2" w:rsidRPr="00810E21">
        <w:t>To be answered for OD, OS, and binocular, as applicable.</w:t>
      </w:r>
    </w:p>
    <w:p w:rsidR="00CD4D66" w:rsidRPr="00810E21" w:rsidRDefault="003777AF" w:rsidP="00FA65D3">
      <w:pPr>
        <w:pStyle w:val="ListParagraph"/>
        <w:numPr>
          <w:ilvl w:val="0"/>
          <w:numId w:val="3"/>
        </w:numPr>
        <w:spacing w:before="120" w:after="60"/>
        <w:contextualSpacing w:val="0"/>
      </w:pPr>
      <w:r w:rsidRPr="00810E21">
        <w:t>Number of letters read correctly at 2 meters (low contrast Sloan letter c</w:t>
      </w:r>
      <w:r w:rsidR="00CD4D66" w:rsidRPr="00810E21">
        <w:t>hart</w:t>
      </w:r>
      <w:r w:rsidRPr="00810E21">
        <w:t xml:space="preserve"> 2.5%)</w:t>
      </w:r>
      <w:r w:rsidR="00CD4D66" w:rsidRPr="00810E21">
        <w:t xml:space="preserve"> – Acceptable range for this result is 0-70.</w:t>
      </w:r>
      <w:r w:rsidR="00FA65D3">
        <w:t xml:space="preserve"> </w:t>
      </w:r>
      <w:r w:rsidR="00AB50D2" w:rsidRPr="00810E21">
        <w:t>To be answered for OD, OS, and binocular, as applicable</w:t>
      </w:r>
      <w:r w:rsidR="00FA65D3">
        <w:t>.</w:t>
      </w:r>
    </w:p>
    <w:p w:rsidR="003777AF" w:rsidRPr="00810E21" w:rsidRDefault="003777AF" w:rsidP="00FA65D3">
      <w:pPr>
        <w:pStyle w:val="ListParagraph"/>
        <w:numPr>
          <w:ilvl w:val="0"/>
          <w:numId w:val="3"/>
        </w:numPr>
        <w:spacing w:before="120" w:after="60"/>
        <w:contextualSpacing w:val="0"/>
      </w:pPr>
      <w:r w:rsidRPr="00810E21">
        <w:t>Number of letters read correctly at 2 meters (low contrast Sloan letter chart 1.25%) – Acceptable range for this result is 0-70.</w:t>
      </w:r>
      <w:r w:rsidR="00FA65D3">
        <w:t xml:space="preserve"> </w:t>
      </w:r>
      <w:r w:rsidR="00AB50D2" w:rsidRPr="00810E21">
        <w:t>To be answered for OD, OS, and binocular, as applicable</w:t>
      </w:r>
      <w:r w:rsidR="00FA65D3">
        <w:t>.</w:t>
      </w:r>
    </w:p>
    <w:p w:rsidR="00CD4D66" w:rsidRPr="00810E21" w:rsidRDefault="00CD4D66" w:rsidP="00FA65D3">
      <w:pPr>
        <w:pStyle w:val="ListParagraph"/>
        <w:numPr>
          <w:ilvl w:val="0"/>
          <w:numId w:val="3"/>
        </w:numPr>
        <w:spacing w:before="120" w:after="60"/>
        <w:contextualSpacing w:val="0"/>
      </w:pPr>
      <w:proofErr w:type="spellStart"/>
      <w:r w:rsidRPr="00810E21">
        <w:t>Pelli</w:t>
      </w:r>
      <w:proofErr w:type="spellEnd"/>
      <w:r w:rsidRPr="00810E21">
        <w:t>-Robson Contrast Sensitivity Test</w:t>
      </w:r>
      <w:r w:rsidR="00043E01" w:rsidRPr="00810E21">
        <w:t xml:space="preserve">, log score </w:t>
      </w:r>
      <w:r w:rsidRPr="00810E21">
        <w:t>– Acceptable range for this result is 0.00-2.25.</w:t>
      </w:r>
      <w:r w:rsidR="00FA65D3">
        <w:t xml:space="preserve"> </w:t>
      </w:r>
      <w:r w:rsidR="00AB50D2" w:rsidRPr="00810E21">
        <w:t>To be answered for OD, OS, and binocular, as applicable</w:t>
      </w:r>
      <w:r w:rsidR="00FA65D3">
        <w:t>.</w:t>
      </w:r>
    </w:p>
    <w:sectPr w:rsidR="00CD4D66" w:rsidRPr="00810E21" w:rsidSect="00674720">
      <w:headerReference w:type="default" r:id="rId14"/>
      <w:footerReference w:type="default" r:id="rId15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7F" w:rsidRDefault="00D27C7F" w:rsidP="00810E21">
      <w:r>
        <w:separator/>
      </w:r>
    </w:p>
  </w:endnote>
  <w:endnote w:type="continuationSeparator" w:id="0">
    <w:p w:rsidR="00D27C7F" w:rsidRDefault="00D27C7F" w:rsidP="0081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20" w:rsidRDefault="0067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7F" w:rsidRPr="0098787A" w:rsidRDefault="00D27C7F" w:rsidP="00D27C7F">
    <w:pPr>
      <w:pStyle w:val="CDEFooter"/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FA65D3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BC095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BC0951" w:rsidRPr="0098787A">
      <w:rPr>
        <w:rFonts w:ascii="Arial" w:hAnsi="Arial"/>
      </w:rPr>
      <w:fldChar w:fldCharType="separate"/>
    </w:r>
    <w:r w:rsidR="00674720">
      <w:rPr>
        <w:rFonts w:ascii="Arial" w:hAnsi="Arial"/>
        <w:noProof/>
      </w:rPr>
      <w:t>1</w:t>
    </w:r>
    <w:r w:rsidR="00BC0951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BC095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BC0951" w:rsidRPr="0098787A">
      <w:rPr>
        <w:rFonts w:ascii="Arial" w:hAnsi="Arial"/>
      </w:rPr>
      <w:fldChar w:fldCharType="separate"/>
    </w:r>
    <w:r w:rsidR="00674720">
      <w:rPr>
        <w:rFonts w:ascii="Arial" w:hAnsi="Arial"/>
        <w:noProof/>
      </w:rPr>
      <w:t>2</w:t>
    </w:r>
    <w:r w:rsidR="00BC0951" w:rsidRPr="0098787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20" w:rsidRDefault="006747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7F" w:rsidRPr="0098787A" w:rsidRDefault="00D27C7F" w:rsidP="00D27C7F">
    <w:pPr>
      <w:pStyle w:val="CDEFooter"/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BC095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BC0951" w:rsidRPr="0098787A">
      <w:rPr>
        <w:rFonts w:ascii="Arial" w:hAnsi="Arial"/>
      </w:rPr>
      <w:fldChar w:fldCharType="separate"/>
    </w:r>
    <w:r w:rsidR="00674720">
      <w:rPr>
        <w:rFonts w:ascii="Arial" w:hAnsi="Arial"/>
        <w:noProof/>
      </w:rPr>
      <w:t>2</w:t>
    </w:r>
    <w:r w:rsidR="00BC0951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BC095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BC0951" w:rsidRPr="0098787A">
      <w:rPr>
        <w:rFonts w:ascii="Arial" w:hAnsi="Arial"/>
      </w:rPr>
      <w:fldChar w:fldCharType="separate"/>
    </w:r>
    <w:r w:rsidR="00674720">
      <w:rPr>
        <w:rFonts w:ascii="Arial" w:hAnsi="Arial"/>
        <w:noProof/>
      </w:rPr>
      <w:t>2</w:t>
    </w:r>
    <w:r w:rsidR="00BC0951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7F" w:rsidRDefault="00D27C7F" w:rsidP="00810E21">
      <w:r>
        <w:separator/>
      </w:r>
    </w:p>
  </w:footnote>
  <w:footnote w:type="continuationSeparator" w:id="0">
    <w:p w:rsidR="00D27C7F" w:rsidRDefault="00D27C7F" w:rsidP="0081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20" w:rsidRDefault="0067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7F" w:rsidRPr="002A1137" w:rsidRDefault="00D27C7F" w:rsidP="002A1137">
    <w:pPr>
      <w:pStyle w:val="Heading1"/>
      <w:rPr>
        <w:rStyle w:val="Heading1Char"/>
      </w:rPr>
    </w:pPr>
    <w:r w:rsidRPr="002A1137">
      <w:rPr>
        <w:rStyle w:val="Heading1Char"/>
      </w:rPr>
      <w:t>OCT Analysis – Low- and High- Contrast Acuity Testing</w:t>
    </w:r>
  </w:p>
  <w:p w:rsidR="00D27C7F" w:rsidRPr="002A1137" w:rsidRDefault="00D27C7F" w:rsidP="00FA65D3">
    <w:pPr>
      <w:tabs>
        <w:tab w:val="left" w:pos="7200"/>
      </w:tabs>
      <w:spacing w:before="120" w:after="60"/>
    </w:pPr>
    <w:r w:rsidRPr="002A1137">
      <w:t>[Study Name/ID pre-filled]</w:t>
    </w:r>
    <w:r w:rsidRPr="002A1137">
      <w:tab/>
      <w:t>Site Name</w:t>
    </w:r>
    <w:r>
      <w:t>:</w:t>
    </w:r>
  </w:p>
  <w:p w:rsidR="00D27C7F" w:rsidRPr="002A1137" w:rsidRDefault="00D27C7F" w:rsidP="00FA65D3">
    <w:pPr>
      <w:tabs>
        <w:tab w:val="left" w:pos="7200"/>
      </w:tabs>
      <w:spacing w:before="120" w:after="60"/>
    </w:pPr>
    <w:r>
      <w:tab/>
    </w:r>
    <w:r w:rsidRPr="002A1137">
      <w:t>Subject ID</w:t>
    </w:r>
    <w: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20" w:rsidRDefault="006747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7F" w:rsidRPr="00106709" w:rsidRDefault="00D27C7F" w:rsidP="002A1137">
    <w:pPr>
      <w:pStyle w:val="Heading1"/>
      <w:rPr>
        <w:rFonts w:ascii="Calibri" w:hAnsi="Calibri"/>
      </w:rPr>
    </w:pPr>
    <w:r>
      <w:t xml:space="preserve">General Instructions – </w:t>
    </w:r>
    <w:r w:rsidRPr="00CC63D2">
      <w:t xml:space="preserve">OCT Analysis – </w:t>
    </w:r>
    <w:r>
      <w:t>Low- and High-Contrast</w:t>
    </w:r>
    <w:r w:rsidRPr="00CC63D2">
      <w:t xml:space="preserve"> Acuity Testing 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BF9"/>
    <w:multiLevelType w:val="hybridMultilevel"/>
    <w:tmpl w:val="010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7008"/>
    <w:multiLevelType w:val="hybridMultilevel"/>
    <w:tmpl w:val="B15C93F4"/>
    <w:lvl w:ilvl="0" w:tplc="5D68C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6"/>
    <w:rsid w:val="00043E01"/>
    <w:rsid w:val="00064EA6"/>
    <w:rsid w:val="00081C37"/>
    <w:rsid w:val="000E7674"/>
    <w:rsid w:val="00106709"/>
    <w:rsid w:val="00136B28"/>
    <w:rsid w:val="001741BB"/>
    <w:rsid w:val="00251112"/>
    <w:rsid w:val="002A1137"/>
    <w:rsid w:val="003667DA"/>
    <w:rsid w:val="003777AF"/>
    <w:rsid w:val="00431285"/>
    <w:rsid w:val="004E540C"/>
    <w:rsid w:val="005A4A8B"/>
    <w:rsid w:val="00674720"/>
    <w:rsid w:val="006E4345"/>
    <w:rsid w:val="00766D00"/>
    <w:rsid w:val="00800F66"/>
    <w:rsid w:val="00810E21"/>
    <w:rsid w:val="00947518"/>
    <w:rsid w:val="009B4923"/>
    <w:rsid w:val="00AB50D2"/>
    <w:rsid w:val="00B3345E"/>
    <w:rsid w:val="00B33FEF"/>
    <w:rsid w:val="00B609C2"/>
    <w:rsid w:val="00B73F3F"/>
    <w:rsid w:val="00B9772E"/>
    <w:rsid w:val="00BC0951"/>
    <w:rsid w:val="00C1024E"/>
    <w:rsid w:val="00C55351"/>
    <w:rsid w:val="00C96F70"/>
    <w:rsid w:val="00CB653B"/>
    <w:rsid w:val="00CC63D2"/>
    <w:rsid w:val="00CD4D66"/>
    <w:rsid w:val="00CE3D65"/>
    <w:rsid w:val="00D1744F"/>
    <w:rsid w:val="00D27C7F"/>
    <w:rsid w:val="00D44378"/>
    <w:rsid w:val="00D846DC"/>
    <w:rsid w:val="00DA10F6"/>
    <w:rsid w:val="00FA65D3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05B1577"/>
  <w15:docId w15:val="{2BCB164E-C0CA-435F-A121-1346321D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5D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137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5D3"/>
    <w:pPr>
      <w:spacing w:before="200" w:after="60"/>
      <w:ind w:left="0"/>
      <w:contextualSpacing w:val="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A8B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66"/>
  </w:style>
  <w:style w:type="paragraph" w:styleId="Footer">
    <w:name w:val="footer"/>
    <w:basedOn w:val="Normal"/>
    <w:link w:val="FooterChar"/>
    <w:uiPriority w:val="99"/>
    <w:unhideWhenUsed/>
    <w:rsid w:val="00CD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66"/>
  </w:style>
  <w:style w:type="character" w:styleId="PageNumber">
    <w:name w:val="page number"/>
    <w:basedOn w:val="DefaultParagraphFont"/>
    <w:rsid w:val="00CD4D66"/>
  </w:style>
  <w:style w:type="paragraph" w:styleId="ListParagraph">
    <w:name w:val="List Paragraph"/>
    <w:basedOn w:val="Normal"/>
    <w:uiPriority w:val="34"/>
    <w:qFormat/>
    <w:rsid w:val="00CD4D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1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1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1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1137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65D3"/>
    <w:rPr>
      <w:rFonts w:ascii="Arial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4A8B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D27C7F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D27C7F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A65D3"/>
    <w:pPr>
      <w:spacing w:before="200" w:after="60"/>
    </w:pPr>
    <w:rPr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3C20B-851B-44E6-9A0E-B4E67F34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Optical Coherence Tomography</vt:lpstr>
    </vt:vector>
  </TitlesOfParts>
  <Company>Altarum Institute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Optical Coherence Tomography</dc:title>
  <dc:subject>CRF</dc:subject>
  <dc:creator>NINDS</dc:creator>
  <cp:keywords>NINDS, CRF, Imaging Optical Coherence Tomography</cp:keywords>
  <cp:lastModifiedBy>Muniza Sheikh</cp:lastModifiedBy>
  <cp:revision>2</cp:revision>
  <cp:lastPrinted>2012-02-29T16:35:00Z</cp:lastPrinted>
  <dcterms:created xsi:type="dcterms:W3CDTF">2020-07-23T15:07:00Z</dcterms:created>
  <dcterms:modified xsi:type="dcterms:W3CDTF">2020-07-23T15:07:00Z</dcterms:modified>
  <cp:category>CRF</cp:category>
  <cp:contentStatus>508 Compliant</cp:contentStatus>
</cp:coreProperties>
</file>