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4F" w:rsidRDefault="000F53D9" w:rsidP="00F1004F">
      <w:r>
        <w:t>The NINDS CDE Team works to obtain permission from the copyright holders of instruments that are included in the CDE recommendations to post them directly to the CDE Web site.</w:t>
      </w:r>
      <w:r w:rsidR="00F1004F">
        <w:t xml:space="preserve"> </w:t>
      </w:r>
      <w:r>
        <w:t xml:space="preserve">Please see the </w:t>
      </w:r>
      <w:hyperlink r:id="rId8" w:history="1">
        <w:r w:rsidRPr="00521FD3">
          <w:rPr>
            <w:rStyle w:val="Hyperlink"/>
            <w:rFonts w:cs="Arial"/>
          </w:rPr>
          <w:t>Epilepsy Data Standards Page</w:t>
        </w:r>
      </w:hyperlink>
      <w:r w:rsidRPr="00521FD3">
        <w:t xml:space="preserve"> </w:t>
      </w:r>
      <w:r>
        <w:t>for CRF Modules and Data Dictionaries that have been approved.</w:t>
      </w:r>
    </w:p>
    <w:p w:rsidR="00F1004F" w:rsidRDefault="00184634" w:rsidP="00F1004F">
      <w:pPr>
        <w:pStyle w:val="Caption"/>
        <w:keepNext/>
      </w:pPr>
      <w:r>
        <w:t xml:space="preserve">Table for </w:t>
      </w:r>
      <w:r w:rsidR="00F1004F" w:rsidRPr="00896DE0">
        <w:t>Adverse Event (AE) Reporting Instruments: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004F" w:rsidTr="00F1004F">
        <w:tc>
          <w:tcPr>
            <w:tcW w:w="4788" w:type="dxa"/>
          </w:tcPr>
          <w:p w:rsidR="00F1004F" w:rsidRDefault="00F1004F" w:rsidP="00F1004F">
            <w:r>
              <w:rPr>
                <w:rFonts w:cs="Arial"/>
                <w:b/>
                <w:color w:val="000000"/>
              </w:rPr>
              <w:t>Recommended Instruments</w:t>
            </w:r>
            <w:r w:rsidRPr="003C2377">
              <w:rPr>
                <w:rFonts w:cs="Arial"/>
                <w:b/>
                <w:color w:val="000000"/>
              </w:rPr>
              <w:t xml:space="preserve"> for Adults</w:t>
            </w:r>
          </w:p>
        </w:tc>
        <w:tc>
          <w:tcPr>
            <w:tcW w:w="4788" w:type="dxa"/>
          </w:tcPr>
          <w:p w:rsidR="00F1004F" w:rsidRDefault="00F1004F" w:rsidP="00F1004F">
            <w:r>
              <w:rPr>
                <w:rFonts w:cs="Arial"/>
                <w:b/>
                <w:color w:val="000000"/>
              </w:rPr>
              <w:t>Recommended Instruments</w:t>
            </w:r>
            <w:r w:rsidRPr="003C2377">
              <w:rPr>
                <w:rFonts w:cs="Arial"/>
                <w:b/>
                <w:color w:val="000000"/>
              </w:rPr>
              <w:t xml:space="preserve"> for Pediatrics</w:t>
            </w:r>
          </w:p>
        </w:tc>
      </w:tr>
      <w:tr w:rsidR="00F1004F" w:rsidTr="00F1004F">
        <w:trPr>
          <w:cantSplit/>
        </w:trPr>
        <w:tc>
          <w:tcPr>
            <w:tcW w:w="4788" w:type="dxa"/>
          </w:tcPr>
          <w:p w:rsidR="00F1004F" w:rsidRPr="003D5536" w:rsidRDefault="00F1004F" w:rsidP="00F1004F">
            <w:pPr>
              <w:rPr>
                <w:rFonts w:cs="Arial"/>
                <w:i/>
              </w:rPr>
            </w:pPr>
            <w:r w:rsidRPr="003C2377">
              <w:rPr>
                <w:rFonts w:cs="Arial"/>
                <w:color w:val="000000"/>
              </w:rPr>
              <w:t> </w:t>
            </w:r>
            <w:hyperlink r:id="rId9" w:history="1">
              <w:r w:rsidRPr="00F1004F">
                <w:rPr>
                  <w:rStyle w:val="Hyperlink"/>
                  <w:rFonts w:cs="Arial"/>
                </w:rPr>
                <w:t>VA Toxicity Rating Scale</w:t>
              </w:r>
            </w:hyperlink>
          </w:p>
        </w:tc>
        <w:tc>
          <w:tcPr>
            <w:tcW w:w="4788" w:type="dxa"/>
          </w:tcPr>
          <w:p w:rsidR="00F1004F" w:rsidRPr="003C2377" w:rsidRDefault="00475BCA" w:rsidP="00F1004F">
            <w:pPr>
              <w:spacing w:after="0"/>
              <w:rPr>
                <w:rFonts w:cs="Arial"/>
                <w:color w:val="000000"/>
              </w:rPr>
            </w:pPr>
            <w:hyperlink r:id="rId10" w:history="1">
              <w:r w:rsidR="00F1004F" w:rsidRPr="00FF0D87">
                <w:rPr>
                  <w:rStyle w:val="Hyperlink"/>
                  <w:rFonts w:cs="Arial"/>
                </w:rPr>
                <w:t>The Side Effects Scale</w:t>
              </w:r>
              <w:r w:rsidR="00F1004F" w:rsidRPr="00FF0D87">
                <w:rPr>
                  <w:rStyle w:val="Hyperlink"/>
                  <w:rFonts w:cs="Arial"/>
                  <w:i/>
                </w:rPr>
                <w:t xml:space="preserve"> </w:t>
              </w:r>
              <w:r w:rsidR="00F1004F" w:rsidRPr="00FF0D87">
                <w:rPr>
                  <w:rStyle w:val="Hyperlink"/>
                  <w:rFonts w:cs="Arial"/>
                </w:rPr>
                <w:t>(Hague)</w:t>
              </w:r>
            </w:hyperlink>
          </w:p>
        </w:tc>
      </w:tr>
      <w:tr w:rsidR="00F1004F" w:rsidTr="00F1004F">
        <w:trPr>
          <w:cantSplit/>
        </w:trPr>
        <w:tc>
          <w:tcPr>
            <w:tcW w:w="4788" w:type="dxa"/>
          </w:tcPr>
          <w:p w:rsidR="00F1004F" w:rsidRPr="003C2377" w:rsidRDefault="00F1004F" w:rsidP="00F1004F">
            <w:pPr>
              <w:spacing w:after="0"/>
              <w:rPr>
                <w:rFonts w:cs="Arial"/>
                <w:color w:val="000000"/>
              </w:rPr>
            </w:pPr>
            <w:r w:rsidRPr="00FF0D87">
              <w:rPr>
                <w:rFonts w:cs="Arial"/>
              </w:rPr>
              <w:t>Adverse Events Profile</w:t>
            </w:r>
          </w:p>
        </w:tc>
        <w:tc>
          <w:tcPr>
            <w:tcW w:w="4788" w:type="dxa"/>
          </w:tcPr>
          <w:p w:rsidR="00F1004F" w:rsidRPr="003C2377" w:rsidRDefault="00F1004F" w:rsidP="00F1004F">
            <w:pPr>
              <w:spacing w:after="0"/>
              <w:rPr>
                <w:rFonts w:cs="Arial"/>
                <w:b/>
                <w:bCs/>
                <w:color w:val="000000"/>
              </w:rPr>
            </w:pPr>
            <w:r w:rsidRPr="009E0A84">
              <w:rPr>
                <w:rFonts w:cs="Arial"/>
              </w:rPr>
              <w:t>Pediatric Epilepsy</w:t>
            </w:r>
            <w:r w:rsidRPr="009E0A84">
              <w:rPr>
                <w:rFonts w:cs="Arial"/>
                <w:i/>
              </w:rPr>
              <w:t xml:space="preserve"> </w:t>
            </w:r>
            <w:r w:rsidRPr="009E0A84">
              <w:rPr>
                <w:rFonts w:cs="Arial"/>
              </w:rPr>
              <w:t>Side Effects Scale (Cincinnati Side Effects Scale)</w:t>
            </w:r>
          </w:p>
        </w:tc>
      </w:tr>
    </w:tbl>
    <w:p w:rsidR="00F1004F" w:rsidRDefault="00306266" w:rsidP="00F1004F">
      <w:r w:rsidRPr="00ED0053">
        <w:t>Note, please review the following</w:t>
      </w:r>
      <w:r w:rsidRPr="00F95472">
        <w:t xml:space="preserve"> for more information on when these instruments are recommended for use</w:t>
      </w:r>
      <w:r w:rsidRPr="00ED0053">
        <w:t>:</w:t>
      </w:r>
    </w:p>
    <w:p w:rsidR="00F1004F" w:rsidRDefault="00306266" w:rsidP="00FF0D87">
      <w:pPr>
        <w:pStyle w:val="Heading2"/>
      </w:pPr>
      <w:r w:rsidRPr="00F1004F">
        <w:t>Recommended AE Reporting Instruments</w:t>
      </w:r>
    </w:p>
    <w:p w:rsidR="00BC52D3" w:rsidRPr="00BC52D3" w:rsidRDefault="00475BCA" w:rsidP="00BC52D3">
      <w:hyperlink r:id="rId11" w:history="1">
        <w:r w:rsidR="00BC52D3" w:rsidRPr="00BC52D3">
          <w:rPr>
            <w:rStyle w:val="Hyperlink"/>
          </w:rPr>
          <w:t xml:space="preserve"> Reco</w:t>
        </w:r>
        <w:r w:rsidR="00BC52D3" w:rsidRPr="00BC52D3">
          <w:rPr>
            <w:rStyle w:val="Hyperlink"/>
          </w:rPr>
          <w:t>m</w:t>
        </w:r>
        <w:r w:rsidR="00BC52D3" w:rsidRPr="00BC52D3">
          <w:rPr>
            <w:rStyle w:val="Hyperlink"/>
          </w:rPr>
          <w:t>mended Adverse Event Reporting Instrument documentation</w:t>
        </w:r>
      </w:hyperlink>
      <w:r w:rsidR="00BC52D3">
        <w:t>.</w:t>
      </w:r>
      <w:bookmarkStart w:id="0" w:name="_GoBack"/>
      <w:bookmarkEnd w:id="0"/>
    </w:p>
    <w:sectPr w:rsidR="00BC52D3" w:rsidRPr="00BC52D3" w:rsidSect="0073529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87" w:rsidRDefault="00FF0D87" w:rsidP="00B91362">
      <w:pPr>
        <w:spacing w:after="0"/>
      </w:pPr>
      <w:r>
        <w:separator/>
      </w:r>
    </w:p>
  </w:endnote>
  <w:endnote w:type="continuationSeparator" w:id="0">
    <w:p w:rsidR="00FF0D87" w:rsidRDefault="00FF0D87" w:rsidP="00B91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87" w:rsidRPr="00A71CA6" w:rsidRDefault="00FF0D87" w:rsidP="00CA47FC">
    <w:pPr>
      <w:tabs>
        <w:tab w:val="right" w:pos="9360"/>
      </w:tabs>
      <w:rPr>
        <w:rFonts w:cs="Arial"/>
      </w:rPr>
    </w:pPr>
    <w:r>
      <w:rPr>
        <w:rFonts w:cs="Arial"/>
      </w:rPr>
      <w:t>Epilepsy Version 2.0</w:t>
    </w:r>
    <w:r>
      <w:rPr>
        <w:rFonts w:cs="Arial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184634">
          <w:fldChar w:fldCharType="begin"/>
        </w:r>
        <w:r w:rsidR="00184634">
          <w:instrText xml:space="preserve"> PAGE </w:instrText>
        </w:r>
        <w:r w:rsidR="00184634">
          <w:fldChar w:fldCharType="separate"/>
        </w:r>
        <w:r w:rsidR="00475BCA">
          <w:rPr>
            <w:noProof/>
          </w:rPr>
          <w:t>1</w:t>
        </w:r>
        <w:r w:rsidR="00184634">
          <w:rPr>
            <w:noProof/>
          </w:rPr>
          <w:fldChar w:fldCharType="end"/>
        </w:r>
        <w:r>
          <w:t xml:space="preserve"> of </w:t>
        </w:r>
        <w:fldSimple w:instr=" NUMPAGES  ">
          <w:r w:rsidR="00475BCA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87" w:rsidRDefault="00FF0D87" w:rsidP="00B91362">
      <w:pPr>
        <w:spacing w:after="0"/>
      </w:pPr>
      <w:r>
        <w:separator/>
      </w:r>
    </w:p>
  </w:footnote>
  <w:footnote w:type="continuationSeparator" w:id="0">
    <w:p w:rsidR="00FF0D87" w:rsidRDefault="00FF0D87" w:rsidP="00B913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87" w:rsidRPr="00FF0D87" w:rsidRDefault="00FF0D87" w:rsidP="00FF0D87">
    <w:pPr>
      <w:pStyle w:val="Heading1"/>
    </w:pPr>
    <w:bookmarkStart w:id="1" w:name="OLE_LINK3"/>
    <w:bookmarkStart w:id="2" w:name="OLE_LINK4"/>
    <w:bookmarkStart w:id="3" w:name="_Hlk263430766"/>
    <w:bookmarkStart w:id="4" w:name="OLE_LINK7"/>
    <w:bookmarkStart w:id="5" w:name="OLE_LINK8"/>
    <w:bookmarkStart w:id="6" w:name="_Hlk263433529"/>
    <w:r w:rsidRPr="00FF0D87">
      <w:t xml:space="preserve">Overview of </w:t>
    </w:r>
    <w:bookmarkEnd w:id="1"/>
    <w:bookmarkEnd w:id="2"/>
    <w:bookmarkEnd w:id="3"/>
    <w:r w:rsidRPr="00FF0D87">
      <w:t>Recommended Adverse Event (AE) Reporting Instruments</w:t>
    </w:r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831AE"/>
    <w:multiLevelType w:val="hybridMultilevel"/>
    <w:tmpl w:val="6C4ADEBC"/>
    <w:lvl w:ilvl="0" w:tplc="E8EE85B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33"/>
    <w:rsid w:val="00042287"/>
    <w:rsid w:val="00050150"/>
    <w:rsid w:val="000F53D9"/>
    <w:rsid w:val="00184634"/>
    <w:rsid w:val="001850AB"/>
    <w:rsid w:val="001873A0"/>
    <w:rsid w:val="001A203E"/>
    <w:rsid w:val="001E6693"/>
    <w:rsid w:val="00242250"/>
    <w:rsid w:val="00271285"/>
    <w:rsid w:val="002B3ADE"/>
    <w:rsid w:val="002B6C55"/>
    <w:rsid w:val="003044E6"/>
    <w:rsid w:val="00306266"/>
    <w:rsid w:val="003315C1"/>
    <w:rsid w:val="003B638D"/>
    <w:rsid w:val="003C2335"/>
    <w:rsid w:val="003D5536"/>
    <w:rsid w:val="004006E3"/>
    <w:rsid w:val="00475BCA"/>
    <w:rsid w:val="004A4794"/>
    <w:rsid w:val="00502EBD"/>
    <w:rsid w:val="00521FD3"/>
    <w:rsid w:val="005267AC"/>
    <w:rsid w:val="00551033"/>
    <w:rsid w:val="00556E4F"/>
    <w:rsid w:val="00561D8C"/>
    <w:rsid w:val="00563614"/>
    <w:rsid w:val="005648B6"/>
    <w:rsid w:val="00565CB4"/>
    <w:rsid w:val="005761E1"/>
    <w:rsid w:val="005B247A"/>
    <w:rsid w:val="005C13CC"/>
    <w:rsid w:val="006758C9"/>
    <w:rsid w:val="006965AD"/>
    <w:rsid w:val="006F7901"/>
    <w:rsid w:val="007239AA"/>
    <w:rsid w:val="00732028"/>
    <w:rsid w:val="00734C43"/>
    <w:rsid w:val="0073529F"/>
    <w:rsid w:val="007B3EA2"/>
    <w:rsid w:val="007B628A"/>
    <w:rsid w:val="00800F92"/>
    <w:rsid w:val="008D4F4C"/>
    <w:rsid w:val="00993B4E"/>
    <w:rsid w:val="009C1A41"/>
    <w:rsid w:val="009E65BB"/>
    <w:rsid w:val="009F4E07"/>
    <w:rsid w:val="00A26C2F"/>
    <w:rsid w:val="00A71CA6"/>
    <w:rsid w:val="00AC14CE"/>
    <w:rsid w:val="00B6543D"/>
    <w:rsid w:val="00B91362"/>
    <w:rsid w:val="00BC52D3"/>
    <w:rsid w:val="00BE5F09"/>
    <w:rsid w:val="00C2550D"/>
    <w:rsid w:val="00C7159C"/>
    <w:rsid w:val="00CA47FC"/>
    <w:rsid w:val="00CF7A34"/>
    <w:rsid w:val="00D8103F"/>
    <w:rsid w:val="00E17ADC"/>
    <w:rsid w:val="00E72C80"/>
    <w:rsid w:val="00ED0053"/>
    <w:rsid w:val="00ED153F"/>
    <w:rsid w:val="00F1004F"/>
    <w:rsid w:val="00F43245"/>
    <w:rsid w:val="00FC050C"/>
    <w:rsid w:val="00FD733D"/>
    <w:rsid w:val="00FE0D5E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673F51CB-86FA-4BC0-AB80-95CA52D0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04F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87"/>
    <w:pPr>
      <w:tabs>
        <w:tab w:val="left" w:pos="375"/>
        <w:tab w:val="center" w:pos="4680"/>
      </w:tabs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D87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13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1362"/>
  </w:style>
  <w:style w:type="paragraph" w:styleId="Footer">
    <w:name w:val="footer"/>
    <w:basedOn w:val="Normal"/>
    <w:link w:val="FooterChar"/>
    <w:uiPriority w:val="99"/>
    <w:unhideWhenUsed/>
    <w:rsid w:val="00B913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1362"/>
  </w:style>
  <w:style w:type="character" w:customStyle="1" w:styleId="Heading1Char">
    <w:name w:val="Heading 1 Char"/>
    <w:basedOn w:val="DefaultParagraphFont"/>
    <w:link w:val="Heading1"/>
    <w:uiPriority w:val="9"/>
    <w:rsid w:val="00FF0D87"/>
    <w:rPr>
      <w:rFonts w:ascii="Arial" w:hAnsi="Arial" w:cs="Arial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654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43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34C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F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0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1004F"/>
    <w:pPr>
      <w:spacing w:before="200"/>
    </w:pPr>
    <w:rPr>
      <w:b/>
      <w:bCs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F0D87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ondataelements.ninds.nih.gov/Epileps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ondataelements.ninds.nih.gov/Doc/EPI/F1125_Recommended_Adverse_Event_Reporting_Instruments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mondataelements.ninds.nih.gov/Doc/NOC/Hague_Side_Effects_Scale_NOC_Reques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ondataelements.ninds.nih.gov/Doc/NOC/VA_Toxicity_Scale_NOC_Reques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AABF-CC93-4F18-B8D2-90AF3F64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Recommended Adverse Event (AE) Reporting Instruments</vt:lpstr>
    </vt:vector>
  </TitlesOfParts>
  <Company>KAI Research, Inc.</Company>
  <LinksUpToDate>false</LinksUpToDate>
  <CharactersWithSpaces>1177</CharactersWithSpaces>
  <SharedDoc>false</SharedDoc>
  <HLinks>
    <vt:vector size="18" baseType="variant">
      <vt:variant>
        <vt:i4>3342372</vt:i4>
      </vt:variant>
      <vt:variant>
        <vt:i4>6</vt:i4>
      </vt:variant>
      <vt:variant>
        <vt:i4>0</vt:i4>
      </vt:variant>
      <vt:variant>
        <vt:i4>5</vt:i4>
      </vt:variant>
      <vt:variant>
        <vt:lpwstr>http://www.commondataelements.ninds.nih.gov/Doc/EPI/SafetyData/RecommendedAdverseEventReportingInstruments.doc</vt:lpwstr>
      </vt:variant>
      <vt:variant>
        <vt:lpwstr/>
      </vt:variant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http://www.loftusmd.com/Articles/Epilepsy/aepscale.php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http://www.commondataelements.ninds.nih.gov/Epilepsy.aspx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Recommended Adverse Event (AE) Reporting Instruments</dc:title>
  <dc:subject>CRF</dc:subject>
  <dc:creator>NINDS</dc:creator>
  <cp:keywords>CRF, NINDS, Adverse, Event, AE, Reporting, Instruments</cp:keywords>
  <dc:description/>
  <cp:lastModifiedBy>Andy Franklin</cp:lastModifiedBy>
  <cp:revision>2</cp:revision>
  <cp:lastPrinted>2010-06-04T19:38:00Z</cp:lastPrinted>
  <dcterms:created xsi:type="dcterms:W3CDTF">2014-10-27T16:21:00Z</dcterms:created>
  <dcterms:modified xsi:type="dcterms:W3CDTF">2014-10-27T16:21:00Z</dcterms:modified>
  <cp:category>CRF</cp:category>
  <cp:contentStatus>508 Compliant</cp:contentStatus>
</cp:coreProperties>
</file>