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CD98" w14:textId="77777777" w:rsidR="001456B0" w:rsidRPr="001665AA" w:rsidRDefault="001456B0" w:rsidP="001456B0">
      <w:pPr>
        <w:tabs>
          <w:tab w:val="left" w:pos="5199"/>
          <w:tab w:val="left" w:pos="6464"/>
        </w:tabs>
        <w:spacing w:after="0"/>
        <w:ind w:left="108"/>
        <w:rPr>
          <w:rFonts w:ascii="Arial" w:hAnsi="Arial" w:cs="Arial"/>
        </w:rPr>
      </w:pPr>
    </w:p>
    <w:p w14:paraId="31C13376" w14:textId="4F842E15"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 xml:space="preserve">1. Acetabular Index </w:t>
      </w:r>
      <w:r w:rsidRPr="001665AA">
        <w:rPr>
          <w:rFonts w:ascii="Arial" w:hAnsi="Arial" w:cs="Arial"/>
        </w:rPr>
        <w:tab/>
        <w:t>Left _____</w:t>
      </w:r>
      <w:r w:rsidRPr="001665AA">
        <w:rPr>
          <w:rFonts w:ascii="Arial" w:hAnsi="Arial" w:cs="Arial"/>
          <w:vertAlign w:val="superscript"/>
        </w:rPr>
        <w:t xml:space="preserve"> </w:t>
      </w:r>
      <w:proofErr w:type="spellStart"/>
      <w:r w:rsidRPr="001665AA">
        <w:rPr>
          <w:rFonts w:ascii="Arial" w:hAnsi="Arial" w:cs="Arial"/>
          <w:vertAlign w:val="superscript"/>
        </w:rPr>
        <w:t>o</w:t>
      </w:r>
      <w:proofErr w:type="spellEnd"/>
      <w:r w:rsidRPr="001665AA">
        <w:rPr>
          <w:rFonts w:ascii="Arial" w:hAnsi="Arial" w:cs="Arial"/>
          <w:b/>
          <w:bCs/>
        </w:rPr>
        <w:tab/>
        <w:t xml:space="preserve"> </w:t>
      </w:r>
      <w:r w:rsidRPr="001665AA">
        <w:rPr>
          <w:rFonts w:ascii="Arial" w:hAnsi="Arial" w:cs="Arial"/>
        </w:rPr>
        <w:t>Right _____</w:t>
      </w:r>
      <w:r w:rsidRPr="001665AA">
        <w:rPr>
          <w:rFonts w:ascii="Arial" w:hAnsi="Arial" w:cs="Arial"/>
          <w:vertAlign w:val="superscript"/>
        </w:rPr>
        <w:t xml:space="preserve">o </w:t>
      </w:r>
    </w:p>
    <w:p w14:paraId="5BDFF76E" w14:textId="77777777"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ab/>
      </w:r>
    </w:p>
    <w:p w14:paraId="3A240E54" w14:textId="77777777" w:rsidR="001456B0" w:rsidRPr="001665AA" w:rsidRDefault="001456B0" w:rsidP="001456B0">
      <w:pPr>
        <w:tabs>
          <w:tab w:val="left" w:pos="5199"/>
          <w:tab w:val="left" w:pos="6464"/>
        </w:tabs>
        <w:spacing w:after="0"/>
        <w:ind w:left="108"/>
        <w:rPr>
          <w:rFonts w:ascii="Arial" w:hAnsi="Arial" w:cs="Arial"/>
        </w:rPr>
      </w:pPr>
    </w:p>
    <w:p w14:paraId="14467E6A" w14:textId="1CE8C2A8"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2.*</w:t>
      </w:r>
      <w:r w:rsidR="009B3113">
        <w:rPr>
          <w:rFonts w:ascii="Arial" w:hAnsi="Arial" w:cs="Arial"/>
        </w:rPr>
        <w:t>*</w:t>
      </w:r>
      <w:r w:rsidRPr="001665AA">
        <w:rPr>
          <w:rFonts w:ascii="Arial" w:hAnsi="Arial" w:cs="Arial"/>
        </w:rPr>
        <w:t xml:space="preserve"> Migration </w:t>
      </w:r>
      <w:r w:rsidR="000B7020">
        <w:rPr>
          <w:rFonts w:ascii="Arial" w:hAnsi="Arial" w:cs="Arial"/>
        </w:rPr>
        <w:t>P</w:t>
      </w:r>
      <w:r w:rsidRPr="001665AA">
        <w:rPr>
          <w:rFonts w:ascii="Arial" w:hAnsi="Arial" w:cs="Arial"/>
        </w:rPr>
        <w:t xml:space="preserve">ercentage (AP) </w:t>
      </w:r>
      <w:r w:rsidRPr="001665AA">
        <w:rPr>
          <w:rFonts w:ascii="Arial" w:hAnsi="Arial" w:cs="Arial"/>
          <w:b/>
          <w:bCs/>
        </w:rPr>
        <w:tab/>
      </w:r>
      <w:r w:rsidRPr="001665AA">
        <w:rPr>
          <w:rFonts w:ascii="Arial" w:hAnsi="Arial" w:cs="Arial"/>
        </w:rPr>
        <w:t>Left _____%</w:t>
      </w:r>
      <w:r w:rsidRPr="001665AA">
        <w:rPr>
          <w:rFonts w:ascii="Arial" w:hAnsi="Arial" w:cs="Arial"/>
          <w:b/>
          <w:bCs/>
        </w:rPr>
        <w:t xml:space="preserve"> </w:t>
      </w:r>
      <w:r w:rsidRPr="001665AA">
        <w:rPr>
          <w:rFonts w:ascii="Arial" w:hAnsi="Arial" w:cs="Arial"/>
        </w:rPr>
        <w:t xml:space="preserve">Right _____% </w:t>
      </w:r>
    </w:p>
    <w:p w14:paraId="6F6C7070" w14:textId="77777777"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ab/>
      </w:r>
    </w:p>
    <w:p w14:paraId="2E2260EA" w14:textId="77777777" w:rsidR="001456B0" w:rsidRPr="001665AA" w:rsidRDefault="001456B0" w:rsidP="001456B0">
      <w:pPr>
        <w:tabs>
          <w:tab w:val="left" w:pos="5199"/>
          <w:tab w:val="left" w:pos="6464"/>
        </w:tabs>
        <w:spacing w:after="0"/>
        <w:ind w:left="108"/>
        <w:rPr>
          <w:rFonts w:ascii="Arial" w:hAnsi="Arial" w:cs="Arial"/>
        </w:rPr>
      </w:pPr>
    </w:p>
    <w:p w14:paraId="77ECBDF5" w14:textId="28807782" w:rsidR="001456B0" w:rsidRPr="00817F99" w:rsidRDefault="001456B0" w:rsidP="001456B0">
      <w:pPr>
        <w:tabs>
          <w:tab w:val="left" w:pos="5199"/>
          <w:tab w:val="left" w:pos="6464"/>
        </w:tabs>
        <w:spacing w:after="0"/>
        <w:ind w:left="108"/>
        <w:rPr>
          <w:rFonts w:ascii="Arial" w:hAnsi="Arial" w:cs="Arial"/>
        </w:rPr>
      </w:pPr>
      <w:r w:rsidRPr="001665AA">
        <w:rPr>
          <w:rFonts w:ascii="Arial" w:hAnsi="Arial" w:cs="Arial"/>
        </w:rPr>
        <w:t>3. Pelvic Obliquity (AP)</w:t>
      </w:r>
      <w:r w:rsidRPr="001665AA">
        <w:rPr>
          <w:rFonts w:ascii="Arial" w:hAnsi="Arial" w:cs="Arial"/>
          <w:b/>
          <w:bCs/>
        </w:rPr>
        <w:tab/>
      </w:r>
      <w:r w:rsidRPr="001665AA">
        <w:rPr>
          <w:rFonts w:ascii="Arial" w:hAnsi="Arial" w:cs="Arial"/>
        </w:rPr>
        <w:t>Left _____</w:t>
      </w:r>
      <w:r w:rsidRPr="001665AA">
        <w:rPr>
          <w:rFonts w:ascii="Arial" w:hAnsi="Arial" w:cs="Arial"/>
          <w:vertAlign w:val="superscript"/>
        </w:rPr>
        <w:t xml:space="preserve"> </w:t>
      </w:r>
      <w:proofErr w:type="spellStart"/>
      <w:r w:rsidRPr="001665AA">
        <w:rPr>
          <w:rFonts w:ascii="Arial" w:hAnsi="Arial" w:cs="Arial"/>
          <w:vertAlign w:val="superscript"/>
        </w:rPr>
        <w:t>o</w:t>
      </w:r>
      <w:proofErr w:type="spellEnd"/>
      <w:r w:rsidRPr="001665AA">
        <w:rPr>
          <w:rFonts w:ascii="Arial" w:hAnsi="Arial" w:cs="Arial"/>
          <w:b/>
          <w:bCs/>
        </w:rPr>
        <w:tab/>
        <w:t xml:space="preserve"> </w:t>
      </w:r>
      <w:r w:rsidRPr="001665AA">
        <w:rPr>
          <w:rFonts w:ascii="Arial" w:hAnsi="Arial" w:cs="Arial"/>
        </w:rPr>
        <w:t>Right _____</w:t>
      </w:r>
      <w:r w:rsidRPr="00817F99">
        <w:rPr>
          <w:rFonts w:ascii="Arial" w:hAnsi="Arial" w:cs="Arial"/>
          <w:vertAlign w:val="superscript"/>
        </w:rPr>
        <w:t xml:space="preserve">o </w:t>
      </w:r>
    </w:p>
    <w:p w14:paraId="50404EBF" w14:textId="77777777"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ab/>
      </w:r>
    </w:p>
    <w:p w14:paraId="4E19E135" w14:textId="77777777" w:rsidR="001456B0" w:rsidRPr="001665AA" w:rsidRDefault="001456B0" w:rsidP="001456B0">
      <w:pPr>
        <w:tabs>
          <w:tab w:val="left" w:pos="5204"/>
          <w:tab w:val="left" w:pos="6469"/>
        </w:tabs>
        <w:spacing w:after="0"/>
        <w:ind w:left="113"/>
        <w:rPr>
          <w:rFonts w:ascii="Arial" w:hAnsi="Arial" w:cs="Arial"/>
        </w:rPr>
      </w:pPr>
    </w:p>
    <w:p w14:paraId="51E196B4" w14:textId="3735790C" w:rsidR="001456B0" w:rsidRPr="001665AA" w:rsidRDefault="001456B0" w:rsidP="001456B0">
      <w:pPr>
        <w:tabs>
          <w:tab w:val="left" w:pos="5199"/>
          <w:tab w:val="left" w:pos="6464"/>
        </w:tabs>
        <w:spacing w:after="0"/>
        <w:ind w:left="108"/>
        <w:rPr>
          <w:rFonts w:ascii="Arial" w:hAnsi="Arial" w:cs="Arial"/>
        </w:rPr>
      </w:pPr>
      <w:r w:rsidRPr="001665AA">
        <w:rPr>
          <w:rFonts w:ascii="Arial" w:hAnsi="Arial" w:cs="Arial"/>
        </w:rPr>
        <w:t xml:space="preserve">4. Triradiate </w:t>
      </w:r>
      <w:r w:rsidR="000B7020">
        <w:rPr>
          <w:rFonts w:ascii="Arial" w:hAnsi="Arial" w:cs="Arial"/>
        </w:rPr>
        <w:t>C</w:t>
      </w:r>
      <w:r w:rsidRPr="001665AA">
        <w:rPr>
          <w:rFonts w:ascii="Arial" w:hAnsi="Arial" w:cs="Arial"/>
        </w:rPr>
        <w:t>artilage</w:t>
      </w:r>
      <w:r w:rsidRPr="001665AA">
        <w:rPr>
          <w:rFonts w:ascii="Arial" w:hAnsi="Arial" w:cs="Arial"/>
          <w:b/>
          <w:bCs/>
        </w:rPr>
        <w:tab/>
      </w:r>
      <w:r w:rsidRPr="001665AA">
        <w:rPr>
          <w:rFonts w:ascii="Arial" w:hAnsi="Arial" w:cs="Arial"/>
        </w:rPr>
        <w:fldChar w:fldCharType="begin">
          <w:ffData>
            <w:name w:val=""/>
            <w:enabled/>
            <w:calcOnExit w:val="0"/>
            <w:helpText w:type="text" w:val="Unspecified"/>
            <w:statusText w:type="text" w:val="Unspecified"/>
            <w:checkBox>
              <w:sizeAuto/>
              <w:default w:val="0"/>
            </w:checkBox>
          </w:ffData>
        </w:fldChar>
      </w:r>
      <w:r w:rsidRPr="001665AA">
        <w:rPr>
          <w:rFonts w:ascii="Arial" w:hAnsi="Arial" w:cs="Arial"/>
        </w:rPr>
        <w:instrText xml:space="preserve"> FORMCHECKBOX </w:instrText>
      </w:r>
      <w:r w:rsidR="000B7020">
        <w:rPr>
          <w:rFonts w:ascii="Arial" w:hAnsi="Arial" w:cs="Arial"/>
        </w:rPr>
      </w:r>
      <w:r w:rsidR="000B7020">
        <w:rPr>
          <w:rFonts w:ascii="Arial" w:hAnsi="Arial" w:cs="Arial"/>
        </w:rPr>
        <w:fldChar w:fldCharType="separate"/>
      </w:r>
      <w:r w:rsidRPr="001665AA">
        <w:rPr>
          <w:rFonts w:ascii="Arial" w:hAnsi="Arial" w:cs="Arial"/>
        </w:rPr>
        <w:fldChar w:fldCharType="end"/>
      </w:r>
      <w:r w:rsidRPr="001665AA">
        <w:rPr>
          <w:rFonts w:ascii="Arial" w:hAnsi="Arial" w:cs="Arial"/>
        </w:rPr>
        <w:t xml:space="preserve"> Open</w:t>
      </w:r>
      <w:r w:rsidRPr="001665AA">
        <w:rPr>
          <w:rFonts w:ascii="Arial" w:hAnsi="Arial" w:cs="Arial"/>
          <w:b/>
          <w:bCs/>
        </w:rPr>
        <w:tab/>
      </w:r>
      <w:r w:rsidRPr="001665AA">
        <w:rPr>
          <w:rFonts w:ascii="Arial" w:hAnsi="Arial" w:cs="Arial"/>
        </w:rPr>
        <w:fldChar w:fldCharType="begin">
          <w:ffData>
            <w:name w:val=""/>
            <w:enabled/>
            <w:calcOnExit w:val="0"/>
            <w:helpText w:type="text" w:val="Unspecified"/>
            <w:statusText w:type="text" w:val="Unspecified"/>
            <w:checkBox>
              <w:sizeAuto/>
              <w:default w:val="0"/>
            </w:checkBox>
          </w:ffData>
        </w:fldChar>
      </w:r>
      <w:r w:rsidRPr="001665AA">
        <w:rPr>
          <w:rFonts w:ascii="Arial" w:hAnsi="Arial" w:cs="Arial"/>
        </w:rPr>
        <w:instrText xml:space="preserve"> FORMCHECKBOX </w:instrText>
      </w:r>
      <w:r w:rsidR="000B7020">
        <w:rPr>
          <w:rFonts w:ascii="Arial" w:hAnsi="Arial" w:cs="Arial"/>
        </w:rPr>
      </w:r>
      <w:r w:rsidR="000B7020">
        <w:rPr>
          <w:rFonts w:ascii="Arial" w:hAnsi="Arial" w:cs="Arial"/>
        </w:rPr>
        <w:fldChar w:fldCharType="separate"/>
      </w:r>
      <w:r w:rsidRPr="001665AA">
        <w:rPr>
          <w:rFonts w:ascii="Arial" w:hAnsi="Arial" w:cs="Arial"/>
        </w:rPr>
        <w:fldChar w:fldCharType="end"/>
      </w:r>
      <w:r w:rsidRPr="001665AA">
        <w:rPr>
          <w:rFonts w:ascii="Arial" w:hAnsi="Arial" w:cs="Arial"/>
        </w:rPr>
        <w:t xml:space="preserve"> Closed </w:t>
      </w:r>
    </w:p>
    <w:p w14:paraId="565F592C" w14:textId="77777777" w:rsidR="001456B0" w:rsidRPr="001665AA" w:rsidRDefault="001456B0" w:rsidP="001456B0">
      <w:pPr>
        <w:tabs>
          <w:tab w:val="left" w:pos="5199"/>
          <w:tab w:val="left" w:pos="6464"/>
        </w:tabs>
        <w:spacing w:after="0"/>
        <w:ind w:left="108"/>
        <w:rPr>
          <w:rFonts w:ascii="Arial" w:hAnsi="Arial" w:cs="Arial"/>
        </w:rPr>
      </w:pPr>
    </w:p>
    <w:p w14:paraId="22ECC866" w14:textId="77777777" w:rsidR="001456B0" w:rsidRPr="001665AA" w:rsidRDefault="001456B0" w:rsidP="001456B0">
      <w:pPr>
        <w:tabs>
          <w:tab w:val="left" w:pos="5199"/>
          <w:tab w:val="left" w:pos="6464"/>
        </w:tabs>
        <w:spacing w:after="0"/>
        <w:ind w:left="108"/>
        <w:rPr>
          <w:rFonts w:ascii="Arial" w:hAnsi="Arial" w:cs="Arial"/>
        </w:rPr>
      </w:pPr>
    </w:p>
    <w:p w14:paraId="70D0BB9B" w14:textId="77777777" w:rsidR="001456B0" w:rsidRPr="001665AA" w:rsidRDefault="001456B0" w:rsidP="001456B0">
      <w:pPr>
        <w:tabs>
          <w:tab w:val="left" w:pos="5199"/>
          <w:tab w:val="left" w:pos="6464"/>
        </w:tabs>
        <w:spacing w:after="0"/>
        <w:ind w:left="108"/>
        <w:rPr>
          <w:rFonts w:ascii="Arial" w:hAnsi="Arial" w:cs="Arial"/>
        </w:rPr>
      </w:pPr>
    </w:p>
    <w:p w14:paraId="12BA1F40" w14:textId="77777777" w:rsidR="001456B0" w:rsidRPr="001665AA" w:rsidRDefault="001456B0" w:rsidP="001456B0">
      <w:pPr>
        <w:tabs>
          <w:tab w:val="left" w:pos="5199"/>
          <w:tab w:val="left" w:pos="6464"/>
        </w:tabs>
        <w:spacing w:after="0"/>
        <w:ind w:left="108"/>
        <w:rPr>
          <w:rFonts w:ascii="Arial" w:hAnsi="Arial" w:cs="Arial"/>
        </w:rPr>
      </w:pPr>
    </w:p>
    <w:p w14:paraId="094D8A22" w14:textId="0C6000B1" w:rsidR="001456B0" w:rsidRPr="001665AA" w:rsidRDefault="001456B0" w:rsidP="001456B0">
      <w:pPr>
        <w:tabs>
          <w:tab w:val="left" w:pos="5199"/>
          <w:tab w:val="left" w:pos="6464"/>
        </w:tabs>
        <w:spacing w:after="0"/>
        <w:ind w:left="108"/>
        <w:rPr>
          <w:rFonts w:ascii="Arial" w:hAnsi="Arial" w:cs="Arial"/>
          <w:color w:val="FF0000"/>
        </w:rPr>
        <w:sectPr w:rsidR="001456B0" w:rsidRPr="001665AA" w:rsidSect="0052650C">
          <w:headerReference w:type="default" r:id="rId6"/>
          <w:footerReference w:type="default" r:id="rId7"/>
          <w:pgSz w:w="12240" w:h="15840" w:code="1"/>
          <w:pgMar w:top="1440" w:right="1080" w:bottom="1440" w:left="1080" w:header="720" w:footer="432" w:gutter="0"/>
          <w:pgNumType w:start="1"/>
          <w:cols w:space="720"/>
          <w:docGrid w:linePitch="360"/>
        </w:sectPr>
      </w:pPr>
      <w:r w:rsidRPr="001665AA">
        <w:rPr>
          <w:rFonts w:ascii="Arial" w:hAnsi="Arial" w:cs="Arial"/>
        </w:rPr>
        <w:t>*</w:t>
      </w:r>
      <w:r w:rsidR="009B3113">
        <w:rPr>
          <w:rFonts w:ascii="Arial" w:hAnsi="Arial" w:cs="Arial"/>
        </w:rPr>
        <w:t>*</w:t>
      </w:r>
      <w:r w:rsidRPr="001665AA">
        <w:rPr>
          <w:rFonts w:ascii="Arial" w:hAnsi="Arial" w:cs="Arial"/>
        </w:rPr>
        <w:t>Supplemental – Highly Recommended</w:t>
      </w:r>
    </w:p>
    <w:p w14:paraId="7EB8F072" w14:textId="77777777" w:rsidR="001456B0" w:rsidRPr="001665AA" w:rsidRDefault="001456B0" w:rsidP="001456B0">
      <w:pPr>
        <w:pStyle w:val="Heading2"/>
        <w:spacing w:before="0" w:after="0"/>
        <w:rPr>
          <w:szCs w:val="24"/>
        </w:rPr>
      </w:pPr>
      <w:r w:rsidRPr="001665AA">
        <w:rPr>
          <w:szCs w:val="24"/>
        </w:rPr>
        <w:lastRenderedPageBreak/>
        <w:t>General Instructions</w:t>
      </w:r>
    </w:p>
    <w:p w14:paraId="17ED4B2A" w14:textId="0618F01B" w:rsidR="001456B0" w:rsidRPr="001665AA" w:rsidRDefault="001456B0" w:rsidP="001456B0">
      <w:pPr>
        <w:spacing w:after="0"/>
        <w:rPr>
          <w:rFonts w:ascii="Arial" w:hAnsi="Arial" w:cs="Arial"/>
        </w:rPr>
      </w:pPr>
      <w:r w:rsidRPr="001665AA">
        <w:rPr>
          <w:rFonts w:ascii="Arial" w:hAnsi="Arial" w:cs="Arial"/>
        </w:rPr>
        <w:t xml:space="preserve">Information provided by a pelvic view radiograph helps determine the status of hip dysplasia in the setting of cerebral palsy </w:t>
      </w:r>
      <w:r w:rsidR="00222466">
        <w:rPr>
          <w:rFonts w:ascii="Arial" w:hAnsi="Arial" w:cs="Arial"/>
        </w:rPr>
        <w:t xml:space="preserve">(CP) </w:t>
      </w:r>
      <w:r w:rsidRPr="001665AA">
        <w:rPr>
          <w:rFonts w:ascii="Arial" w:hAnsi="Arial" w:cs="Arial"/>
        </w:rPr>
        <w:t>and CP-like conditions. Specifically, the pelvis radiographs allow for the measurement of angles that describe the pathophysiology of hip disease in CP.</w:t>
      </w:r>
    </w:p>
    <w:p w14:paraId="05694694" w14:textId="77777777" w:rsidR="001456B0" w:rsidRPr="001665AA" w:rsidRDefault="001456B0" w:rsidP="001456B0">
      <w:pPr>
        <w:spacing w:after="0"/>
        <w:rPr>
          <w:rFonts w:ascii="Arial" w:hAnsi="Arial" w:cs="Arial"/>
        </w:rPr>
      </w:pPr>
      <w:r w:rsidRPr="001665AA">
        <w:rPr>
          <w:rFonts w:ascii="Arial" w:hAnsi="Arial" w:cs="Arial"/>
        </w:rPr>
        <w:t xml:space="preserve">Radiography assessments include acetabular index, migration percentage (AP), pelvic obliquity (AP), and triradiate cartilage status. </w:t>
      </w:r>
    </w:p>
    <w:p w14:paraId="32C557B6" w14:textId="77777777" w:rsidR="001456B0" w:rsidRPr="001665AA" w:rsidRDefault="001456B0" w:rsidP="001456B0">
      <w:pPr>
        <w:spacing w:after="0"/>
        <w:rPr>
          <w:rFonts w:ascii="Arial" w:hAnsi="Arial" w:cs="Arial"/>
        </w:rPr>
      </w:pPr>
    </w:p>
    <w:p w14:paraId="57C2A095" w14:textId="77777777" w:rsidR="001456B0" w:rsidRPr="001665AA" w:rsidRDefault="001456B0" w:rsidP="001456B0">
      <w:pPr>
        <w:spacing w:after="0"/>
        <w:rPr>
          <w:rFonts w:ascii="Arial" w:hAnsi="Arial" w:cs="Arial"/>
        </w:rPr>
      </w:pPr>
      <w:r w:rsidRPr="001665AA">
        <w:rPr>
          <w:rFonts w:ascii="Arial" w:hAnsi="Arial" w:cs="Arial"/>
        </w:rPr>
        <w:t>Important note: None of the data elements included on this CRF Module are classified as Core (i.e., strongly recommended for all Cerebral Palsy clinical studies to collect.) Migration Percentage is classified as Supplemental-Highly Recommended. All other data elements on this form are classified as Supplemental (i.e., non-Core) and should only be collected if the research team considers them appropriate for their study. Please see the Data Dictionary for element classifications.</w:t>
      </w:r>
    </w:p>
    <w:p w14:paraId="60974832" w14:textId="77777777" w:rsidR="001456B0" w:rsidRPr="001665AA" w:rsidRDefault="001456B0" w:rsidP="001456B0">
      <w:pPr>
        <w:spacing w:after="0"/>
        <w:rPr>
          <w:rFonts w:ascii="Arial" w:hAnsi="Arial" w:cs="Arial"/>
        </w:rPr>
      </w:pPr>
    </w:p>
    <w:p w14:paraId="26B99EBA" w14:textId="77777777" w:rsidR="001456B0" w:rsidRPr="001665AA" w:rsidRDefault="001456B0" w:rsidP="001456B0">
      <w:pPr>
        <w:pStyle w:val="Heading2"/>
        <w:spacing w:before="0" w:after="0"/>
        <w:rPr>
          <w:color w:val="auto"/>
          <w:szCs w:val="24"/>
        </w:rPr>
      </w:pPr>
      <w:r w:rsidRPr="001665AA">
        <w:rPr>
          <w:color w:val="auto"/>
          <w:szCs w:val="24"/>
        </w:rPr>
        <w:t>Specific Instructions</w:t>
      </w:r>
    </w:p>
    <w:p w14:paraId="3A0B0303" w14:textId="77777777" w:rsidR="001456B0" w:rsidRPr="001665AA" w:rsidRDefault="001456B0" w:rsidP="001456B0">
      <w:pPr>
        <w:spacing w:after="0"/>
        <w:rPr>
          <w:rFonts w:ascii="Arial" w:hAnsi="Arial" w:cs="Arial"/>
        </w:rPr>
      </w:pPr>
      <w:r w:rsidRPr="001665AA">
        <w:rPr>
          <w:rFonts w:ascii="Arial" w:hAnsi="Arial" w:cs="Arial"/>
        </w:rPr>
        <w:t>Please see the Data Dictionary for definitions for each of the data elements included in this CRF Module.</w:t>
      </w:r>
    </w:p>
    <w:p w14:paraId="537F61D4" w14:textId="77777777" w:rsidR="001456B0" w:rsidRPr="001665AA" w:rsidRDefault="001456B0" w:rsidP="001456B0">
      <w:pPr>
        <w:spacing w:after="0"/>
        <w:rPr>
          <w:rFonts w:ascii="Arial" w:hAnsi="Arial" w:cs="Arial"/>
        </w:rPr>
      </w:pPr>
    </w:p>
    <w:p w14:paraId="58D8F6C1" w14:textId="478A4A87" w:rsidR="001456B0" w:rsidRPr="001665AA" w:rsidRDefault="001456B0" w:rsidP="001456B0">
      <w:pPr>
        <w:spacing w:after="0"/>
        <w:rPr>
          <w:rFonts w:ascii="Arial" w:hAnsi="Arial" w:cs="Arial"/>
          <w:b/>
          <w:bCs/>
        </w:rPr>
      </w:pPr>
      <w:r w:rsidRPr="001665AA">
        <w:rPr>
          <w:rFonts w:ascii="Arial" w:hAnsi="Arial" w:cs="Arial"/>
        </w:rPr>
        <w:t>The</w:t>
      </w:r>
      <w:r w:rsidR="000B7020">
        <w:rPr>
          <w:rFonts w:ascii="Arial" w:hAnsi="Arial" w:cs="Arial"/>
          <w:b/>
          <w:bCs/>
        </w:rPr>
        <w:t xml:space="preserve"> </w:t>
      </w:r>
      <w:r w:rsidRPr="001665AA">
        <w:rPr>
          <w:rFonts w:ascii="Arial" w:hAnsi="Arial" w:cs="Arial"/>
          <w:b/>
          <w:bCs/>
        </w:rPr>
        <w:t>acetabular index</w:t>
      </w:r>
      <w:r w:rsidR="000B7020">
        <w:rPr>
          <w:rFonts w:ascii="Arial" w:hAnsi="Arial" w:cs="Arial"/>
          <w:b/>
          <w:bCs/>
        </w:rPr>
        <w:t xml:space="preserve"> </w:t>
      </w:r>
      <w:r w:rsidRPr="001665AA">
        <w:rPr>
          <w:rFonts w:ascii="Arial" w:hAnsi="Arial" w:cs="Arial"/>
        </w:rPr>
        <w:t xml:space="preserve">is a radiographic measurement of femoral head bony coverage by the acetabulum. It is useful in assessing for developmental dysplasia of the hip </w:t>
      </w:r>
      <w:r w:rsidR="00222466">
        <w:rPr>
          <w:rFonts w:ascii="Arial" w:hAnsi="Arial" w:cs="Arial"/>
        </w:rPr>
        <w:t>(</w:t>
      </w:r>
      <w:r w:rsidRPr="001665AA">
        <w:rPr>
          <w:rFonts w:ascii="Arial" w:hAnsi="Arial" w:cs="Arial"/>
        </w:rPr>
        <w:t>DDH) as well as pincer morphology in femoroacetabular impingement (FAI).</w:t>
      </w:r>
    </w:p>
    <w:p w14:paraId="167F23CE" w14:textId="77777777" w:rsidR="001456B0" w:rsidRPr="001665AA" w:rsidRDefault="001456B0" w:rsidP="001456B0">
      <w:pPr>
        <w:spacing w:after="0"/>
        <w:rPr>
          <w:rFonts w:ascii="Arial" w:hAnsi="Arial" w:cs="Arial"/>
        </w:rPr>
      </w:pPr>
    </w:p>
    <w:p w14:paraId="268D5993" w14:textId="77777777" w:rsidR="001456B0" w:rsidRPr="001665AA" w:rsidRDefault="001456B0" w:rsidP="001456B0">
      <w:pPr>
        <w:spacing w:after="0"/>
        <w:rPr>
          <w:rFonts w:ascii="Arial" w:hAnsi="Arial" w:cs="Arial"/>
        </w:rPr>
      </w:pPr>
      <w:r w:rsidRPr="001665AA">
        <w:rPr>
          <w:rFonts w:ascii="Arial" w:hAnsi="Arial" w:cs="Arial"/>
        </w:rPr>
        <w:t xml:space="preserve">Measurement of the </w:t>
      </w:r>
      <w:r w:rsidRPr="001665AA">
        <w:rPr>
          <w:rFonts w:ascii="Arial" w:hAnsi="Arial" w:cs="Arial"/>
          <w:b/>
          <w:bCs/>
        </w:rPr>
        <w:t>migration percentage (MP)</w:t>
      </w:r>
      <w:r w:rsidRPr="001665AA">
        <w:rPr>
          <w:rFonts w:ascii="Arial" w:hAnsi="Arial" w:cs="Arial"/>
        </w:rPr>
        <w:t xml:space="preserve"> and </w:t>
      </w:r>
      <w:r w:rsidRPr="001665AA">
        <w:rPr>
          <w:rFonts w:ascii="Arial" w:hAnsi="Arial" w:cs="Arial"/>
          <w:b/>
          <w:bCs/>
        </w:rPr>
        <w:t>acetabular index (AI)</w:t>
      </w:r>
      <w:r w:rsidRPr="001665AA">
        <w:rPr>
          <w:rFonts w:ascii="Arial" w:hAnsi="Arial" w:cs="Arial"/>
        </w:rPr>
        <w:t>. The MP represents that portion of ossified femoral head which has migrated laterally beyond Perkin's line. MP = A/B 100%. The AI describes the slope of the acetabulum and is measured in degrees (H, Hilgenreiner's horizontal line between triradiate cartilages, P, Perkin's line drawn perpendicular to the H-line at the lateral margin of the acetabulum).</w:t>
      </w:r>
    </w:p>
    <w:p w14:paraId="17B217AC" w14:textId="77777777" w:rsidR="001456B0" w:rsidRPr="001665AA" w:rsidRDefault="001456B0" w:rsidP="001456B0">
      <w:pPr>
        <w:spacing w:after="0"/>
        <w:rPr>
          <w:rFonts w:ascii="Arial" w:hAnsi="Arial" w:cs="Arial"/>
        </w:rPr>
      </w:pPr>
    </w:p>
    <w:p w14:paraId="2642EEF6" w14:textId="6407EF45" w:rsidR="001456B0" w:rsidRPr="001665AA" w:rsidRDefault="001456B0" w:rsidP="001456B0">
      <w:pPr>
        <w:spacing w:after="0"/>
        <w:rPr>
          <w:rFonts w:ascii="Arial" w:hAnsi="Arial" w:cs="Arial"/>
        </w:rPr>
      </w:pPr>
      <w:r w:rsidRPr="001665AA">
        <w:rPr>
          <w:rFonts w:ascii="Arial" w:hAnsi="Arial" w:cs="Arial"/>
        </w:rPr>
        <w:t xml:space="preserve">The </w:t>
      </w:r>
      <w:r w:rsidRPr="001665AA">
        <w:rPr>
          <w:rFonts w:ascii="Arial" w:hAnsi="Arial" w:cs="Arial"/>
          <w:b/>
          <w:bCs/>
        </w:rPr>
        <w:t xml:space="preserve">migration percentage </w:t>
      </w:r>
      <w:r w:rsidRPr="001665AA">
        <w:rPr>
          <w:rFonts w:ascii="Arial" w:hAnsi="Arial" w:cs="Arial"/>
        </w:rPr>
        <w:t>is measured by calculating the percentage of the femoral head that lies outside of the lateral border of the acetabulum as defined by bony landmarks on an anteroposterior pelvis radiograph (Reimers et al., 1980)</w:t>
      </w:r>
      <w:r w:rsidR="00222466">
        <w:rPr>
          <w:rFonts w:ascii="Arial" w:hAnsi="Arial" w:cs="Arial"/>
        </w:rPr>
        <w:t>.</w:t>
      </w:r>
      <w:r w:rsidRPr="001665AA">
        <w:rPr>
          <w:rFonts w:ascii="Arial" w:hAnsi="Arial" w:cs="Arial"/>
        </w:rPr>
        <w:t xml:space="preserve"> Following the migration percentage is a useful predictor for determining the risk of subluxation and the effectiveness of interventions.</w:t>
      </w:r>
    </w:p>
    <w:p w14:paraId="70D62629" w14:textId="77777777" w:rsidR="001456B0" w:rsidRPr="001665AA" w:rsidRDefault="001456B0" w:rsidP="001456B0">
      <w:pPr>
        <w:spacing w:after="0"/>
        <w:rPr>
          <w:rFonts w:ascii="Arial" w:hAnsi="Arial" w:cs="Arial"/>
        </w:rPr>
      </w:pPr>
    </w:p>
    <w:p w14:paraId="6282E815" w14:textId="77777777" w:rsidR="001456B0" w:rsidRPr="001665AA" w:rsidRDefault="001456B0" w:rsidP="001456B0">
      <w:pPr>
        <w:spacing w:after="0"/>
        <w:rPr>
          <w:rFonts w:ascii="Arial" w:hAnsi="Arial" w:cs="Arial"/>
        </w:rPr>
      </w:pPr>
      <w:r w:rsidRPr="001665AA">
        <w:rPr>
          <w:rFonts w:ascii="Arial" w:hAnsi="Arial" w:cs="Arial"/>
        </w:rPr>
        <w:t xml:space="preserve">The </w:t>
      </w:r>
      <w:r w:rsidRPr="001665AA">
        <w:rPr>
          <w:rFonts w:ascii="Arial" w:hAnsi="Arial" w:cs="Arial"/>
          <w:b/>
          <w:bCs/>
        </w:rPr>
        <w:t>acetabular index</w:t>
      </w:r>
      <w:r w:rsidRPr="001665AA">
        <w:rPr>
          <w:rFonts w:ascii="Arial" w:hAnsi="Arial" w:cs="Arial"/>
        </w:rPr>
        <w:t xml:space="preserve"> is measured on AP pelvic radiograph. First, a line is drawn running through the medial edge of the sclerotic acetabular zone and through the lateral sourcil. Then a horizontal line is drawn, and an angle is measured between these two lines.</w:t>
      </w:r>
    </w:p>
    <w:p w14:paraId="530E4AC4" w14:textId="77777777" w:rsidR="001456B0" w:rsidRPr="001665AA" w:rsidRDefault="001456B0" w:rsidP="001456B0">
      <w:pPr>
        <w:spacing w:after="0"/>
        <w:rPr>
          <w:rFonts w:ascii="Arial" w:hAnsi="Arial" w:cs="Arial"/>
        </w:rPr>
      </w:pPr>
    </w:p>
    <w:p w14:paraId="66571293" w14:textId="0A5DDA61" w:rsidR="001456B0" w:rsidRPr="001665AA" w:rsidRDefault="001456B0" w:rsidP="001456B0">
      <w:pPr>
        <w:spacing w:after="0"/>
        <w:rPr>
          <w:rFonts w:ascii="Arial" w:hAnsi="Arial" w:cs="Arial"/>
          <w:color w:val="212121"/>
          <w:shd w:val="clear" w:color="auto" w:fill="FFFFFF"/>
        </w:rPr>
      </w:pPr>
      <w:r w:rsidRPr="001665AA">
        <w:rPr>
          <w:rFonts w:ascii="Arial" w:hAnsi="Arial" w:cs="Arial"/>
          <w:b/>
          <w:bCs/>
        </w:rPr>
        <w:t>Pelvic Obliquity (AP)</w:t>
      </w:r>
      <w:r w:rsidRPr="001665AA">
        <w:rPr>
          <w:rFonts w:ascii="Arial" w:hAnsi="Arial" w:cs="Arial"/>
        </w:rPr>
        <w:t>: refers to the radiograph view of the hip/pelvis; Pelvic obliquity is referred to as one of three parameters contributing to the pelvic orientation and defines the rotation of the pelvis at the coronal plane. There are several ways to measure pelvic obliquity, but the most common method determines the angle between the pelvis and the local horizonal plane, as defined by the radiographic plate</w:t>
      </w:r>
      <w:r w:rsidR="00222466">
        <w:rPr>
          <w:rFonts w:ascii="Arial" w:hAnsi="Arial" w:cs="Arial"/>
        </w:rPr>
        <w:t>.</w:t>
      </w:r>
      <w:r w:rsidRPr="001665AA">
        <w:rPr>
          <w:rFonts w:ascii="Arial" w:hAnsi="Arial" w:cs="Arial"/>
          <w:color w:val="212121"/>
          <w:shd w:val="clear" w:color="auto" w:fill="FFFFFF"/>
        </w:rPr>
        <w:t xml:space="preserve"> </w:t>
      </w:r>
    </w:p>
    <w:p w14:paraId="35707548" w14:textId="77777777" w:rsidR="001456B0" w:rsidRPr="001665AA" w:rsidRDefault="001456B0" w:rsidP="001456B0">
      <w:pPr>
        <w:spacing w:after="0"/>
        <w:rPr>
          <w:rFonts w:ascii="Arial" w:hAnsi="Arial" w:cs="Arial"/>
          <w:color w:val="212121"/>
          <w:shd w:val="clear" w:color="auto" w:fill="FFFFFF"/>
        </w:rPr>
      </w:pPr>
    </w:p>
    <w:p w14:paraId="365029DE" w14:textId="1F730927" w:rsidR="001456B0" w:rsidRDefault="001456B0" w:rsidP="001456B0">
      <w:pPr>
        <w:spacing w:after="0"/>
        <w:rPr>
          <w:rFonts w:ascii="Arial" w:hAnsi="Arial" w:cs="Arial"/>
        </w:rPr>
      </w:pPr>
      <w:r w:rsidRPr="001665AA">
        <w:rPr>
          <w:rFonts w:ascii="Arial" w:hAnsi="Arial" w:cs="Arial"/>
        </w:rPr>
        <w:t xml:space="preserve">The </w:t>
      </w:r>
      <w:r w:rsidRPr="001665AA">
        <w:rPr>
          <w:rFonts w:ascii="Arial" w:hAnsi="Arial" w:cs="Arial"/>
          <w:b/>
          <w:bCs/>
        </w:rPr>
        <w:t>triradiate cartilage</w:t>
      </w:r>
      <w:r w:rsidRPr="001665AA">
        <w:rPr>
          <w:rFonts w:ascii="Arial" w:hAnsi="Arial" w:cs="Arial"/>
        </w:rPr>
        <w:t xml:space="preserve"> is the confluence of the main physes, or growth plates, of the three bones that make up the pelvis. The status of whether the triradiate cartilage is open or closed is </w:t>
      </w:r>
      <w:r w:rsidRPr="001665AA">
        <w:rPr>
          <w:rFonts w:ascii="Arial" w:hAnsi="Arial" w:cs="Arial"/>
        </w:rPr>
        <w:lastRenderedPageBreak/>
        <w:t>an indicator of skeletal maturity, and an indirect measure of the ability for the pelvis and acetabulum to remodel. (Eich et al., 1992)</w:t>
      </w:r>
    </w:p>
    <w:p w14:paraId="1B32E3E7" w14:textId="77777777" w:rsidR="00222466" w:rsidRPr="001665AA" w:rsidRDefault="00222466" w:rsidP="001456B0">
      <w:pPr>
        <w:spacing w:after="0"/>
        <w:rPr>
          <w:rFonts w:ascii="Arial" w:hAnsi="Arial" w:cs="Arial"/>
          <w:color w:val="212121"/>
          <w:shd w:val="clear" w:color="auto" w:fill="FFFFFF"/>
        </w:rPr>
      </w:pPr>
    </w:p>
    <w:p w14:paraId="3C62F3E7" w14:textId="77777777" w:rsidR="001456B0" w:rsidRPr="001665AA" w:rsidRDefault="001456B0" w:rsidP="001456B0">
      <w:pPr>
        <w:pStyle w:val="Heading2"/>
        <w:spacing w:before="0" w:after="0"/>
        <w:rPr>
          <w:color w:val="auto"/>
          <w:szCs w:val="24"/>
        </w:rPr>
      </w:pPr>
      <w:r w:rsidRPr="001665AA">
        <w:rPr>
          <w:color w:val="auto"/>
          <w:szCs w:val="24"/>
        </w:rPr>
        <w:t>References:</w:t>
      </w:r>
    </w:p>
    <w:p w14:paraId="3B33BEFB" w14:textId="77777777" w:rsidR="001456B0" w:rsidRPr="001665AA" w:rsidRDefault="001456B0" w:rsidP="001456B0">
      <w:pPr>
        <w:spacing w:after="0"/>
        <w:rPr>
          <w:rFonts w:ascii="Arial" w:hAnsi="Arial" w:cs="Arial"/>
          <w:shd w:val="clear" w:color="auto" w:fill="FFFFFF"/>
        </w:rPr>
      </w:pPr>
      <w:r w:rsidRPr="001665AA">
        <w:rPr>
          <w:rFonts w:ascii="Arial" w:hAnsi="Arial" w:cs="Arial"/>
          <w:shd w:val="clear" w:color="auto" w:fill="FFFFFF"/>
        </w:rPr>
        <w:t>Eich GF, Babyn P, Giedion A. Pediatric pelvis: radiographic appearance in various congenital disorders. Radiographics. 1992 May;12(3):467-84.</w:t>
      </w:r>
    </w:p>
    <w:p w14:paraId="4B3289C3" w14:textId="77777777" w:rsidR="001456B0" w:rsidRPr="001665AA" w:rsidRDefault="001456B0" w:rsidP="001456B0">
      <w:pPr>
        <w:spacing w:after="0"/>
        <w:rPr>
          <w:rFonts w:ascii="Arial" w:hAnsi="Arial" w:cs="Arial"/>
          <w:shd w:val="clear" w:color="auto" w:fill="FFFFFF"/>
        </w:rPr>
      </w:pPr>
    </w:p>
    <w:p w14:paraId="6CDBCADD" w14:textId="77777777" w:rsidR="001456B0" w:rsidRPr="001665AA" w:rsidRDefault="001456B0" w:rsidP="001456B0">
      <w:pPr>
        <w:spacing w:after="0"/>
        <w:rPr>
          <w:rFonts w:ascii="Arial" w:hAnsi="Arial" w:cs="Arial"/>
        </w:rPr>
      </w:pPr>
      <w:r w:rsidRPr="001665AA">
        <w:rPr>
          <w:rFonts w:ascii="Arial" w:hAnsi="Arial" w:cs="Arial"/>
        </w:rPr>
        <w:t xml:space="preserve">Hägglund G, Goldring M, Hermanson M, Rodby-Bousquet E. Pelvic </w:t>
      </w:r>
      <w:proofErr w:type="gramStart"/>
      <w:r w:rsidRPr="001665AA">
        <w:rPr>
          <w:rFonts w:ascii="Arial" w:hAnsi="Arial" w:cs="Arial"/>
        </w:rPr>
        <w:t>obliquity</w:t>
      </w:r>
      <w:proofErr w:type="gramEnd"/>
      <w:r w:rsidRPr="001665AA">
        <w:rPr>
          <w:rFonts w:ascii="Arial" w:hAnsi="Arial" w:cs="Arial"/>
        </w:rPr>
        <w:t xml:space="preserve"> and measurement of hip displacement in children with cerebral palsy. Acta Orthop. 2018 Dec;89(6):652-655.</w:t>
      </w:r>
    </w:p>
    <w:p w14:paraId="470275FF" w14:textId="77777777" w:rsidR="001456B0" w:rsidRPr="001665AA" w:rsidRDefault="001456B0" w:rsidP="001456B0">
      <w:pPr>
        <w:spacing w:after="0"/>
        <w:rPr>
          <w:rFonts w:ascii="Arial" w:hAnsi="Arial" w:cs="Arial"/>
          <w:shd w:val="clear" w:color="auto" w:fill="FFFFFF"/>
        </w:rPr>
      </w:pPr>
    </w:p>
    <w:p w14:paraId="44759F43" w14:textId="77777777" w:rsidR="001456B0" w:rsidRPr="001665AA" w:rsidRDefault="001456B0" w:rsidP="001456B0">
      <w:pPr>
        <w:spacing w:after="0"/>
        <w:rPr>
          <w:rFonts w:ascii="Arial" w:hAnsi="Arial" w:cs="Arial"/>
        </w:rPr>
      </w:pPr>
      <w:r w:rsidRPr="001665AA">
        <w:rPr>
          <w:rFonts w:ascii="Arial" w:hAnsi="Arial" w:cs="Arial"/>
          <w:shd w:val="clear" w:color="auto" w:fill="FFFFFF"/>
        </w:rPr>
        <w:t xml:space="preserve">Lampignano JP, Kendrick LE. (2017). </w:t>
      </w:r>
      <w:r w:rsidRPr="001665AA">
        <w:rPr>
          <w:rFonts w:ascii="Arial" w:hAnsi="Arial" w:cs="Arial"/>
        </w:rPr>
        <w:t>Bontrager's Textbook of Radiographic Positioning and Related Anatomy. (9</w:t>
      </w:r>
      <w:r w:rsidRPr="001665AA">
        <w:rPr>
          <w:rFonts w:ascii="Arial" w:hAnsi="Arial" w:cs="Arial"/>
          <w:vertAlign w:val="superscript"/>
        </w:rPr>
        <w:t>th</w:t>
      </w:r>
      <w:r w:rsidRPr="001665AA">
        <w:rPr>
          <w:rFonts w:ascii="Arial" w:hAnsi="Arial" w:cs="Arial"/>
        </w:rPr>
        <w:t xml:space="preserve"> ed.). Elsevier.</w:t>
      </w:r>
    </w:p>
    <w:p w14:paraId="6F6BAF32" w14:textId="77777777" w:rsidR="001456B0" w:rsidRPr="001665AA" w:rsidRDefault="001456B0" w:rsidP="001456B0">
      <w:pPr>
        <w:spacing w:after="0"/>
        <w:rPr>
          <w:rFonts w:ascii="Arial" w:hAnsi="Arial" w:cs="Arial"/>
          <w:shd w:val="clear" w:color="auto" w:fill="FFFFFF"/>
        </w:rPr>
      </w:pPr>
    </w:p>
    <w:p w14:paraId="112CF38C" w14:textId="77777777" w:rsidR="001456B0" w:rsidRPr="001665AA" w:rsidRDefault="001456B0" w:rsidP="001456B0">
      <w:pPr>
        <w:spacing w:after="0"/>
        <w:rPr>
          <w:rFonts w:ascii="Arial" w:hAnsi="Arial" w:cs="Arial"/>
        </w:rPr>
      </w:pPr>
      <w:r w:rsidRPr="001665AA">
        <w:rPr>
          <w:rFonts w:ascii="Arial" w:hAnsi="Arial" w:cs="Arial"/>
        </w:rPr>
        <w:t>Reimers J. The stability of the hip in children. A radiological study of the results of muscle surgery in cerebral palsy. Acta Orthop Scand 1980;184(Suppl):1-100.</w:t>
      </w:r>
    </w:p>
    <w:p w14:paraId="0488085F" w14:textId="77777777" w:rsidR="001456B0" w:rsidRPr="001665AA" w:rsidRDefault="001456B0" w:rsidP="001456B0">
      <w:pPr>
        <w:spacing w:after="0"/>
        <w:rPr>
          <w:rFonts w:ascii="Arial" w:hAnsi="Arial" w:cs="Arial"/>
        </w:rPr>
      </w:pPr>
    </w:p>
    <w:p w14:paraId="6365767C" w14:textId="1A9D6BAA" w:rsidR="00231462" w:rsidRPr="001456B0" w:rsidRDefault="001456B0" w:rsidP="001456B0">
      <w:pPr>
        <w:spacing w:after="0"/>
        <w:rPr>
          <w:rFonts w:ascii="Arial" w:hAnsi="Arial" w:cs="Arial"/>
        </w:rPr>
      </w:pPr>
      <w:r w:rsidRPr="001665AA">
        <w:rPr>
          <w:rFonts w:ascii="Arial" w:hAnsi="Arial" w:cs="Arial"/>
          <w:shd w:val="clear" w:color="auto" w:fill="FFFFFF"/>
        </w:rPr>
        <w:t>Shrader MW, Andrisevic EM, Belthur MV, White GR, Boan C, Wood W. Inter- and Intraobserver Reliability of Pelvic Obliquity Measurement Methods in Patients with Cerebral Palsy. Spine Deform. 2018 May-Jun;6(3):257-262</w:t>
      </w:r>
      <w:r w:rsidRPr="001665AA">
        <w:rPr>
          <w:rFonts w:ascii="Arial" w:hAnsi="Arial" w:cs="Arial"/>
        </w:rPr>
        <w:t xml:space="preserve">. </w:t>
      </w:r>
    </w:p>
    <w:sectPr w:rsidR="00231462" w:rsidRPr="001456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5E25" w14:textId="77777777" w:rsidR="001456B0" w:rsidRDefault="001456B0" w:rsidP="001456B0">
      <w:pPr>
        <w:spacing w:after="0" w:line="240" w:lineRule="auto"/>
      </w:pPr>
      <w:r>
        <w:separator/>
      </w:r>
    </w:p>
  </w:endnote>
  <w:endnote w:type="continuationSeparator" w:id="0">
    <w:p w14:paraId="77F2DAE6" w14:textId="77777777" w:rsidR="001456B0" w:rsidRDefault="001456B0" w:rsidP="0014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778B" w14:textId="074DA579" w:rsidR="001456B0" w:rsidRPr="00B424E4" w:rsidRDefault="001456B0" w:rsidP="001456B0">
    <w:pPr>
      <w:pStyle w:val="Footer"/>
      <w:rPr>
        <w:rFonts w:ascii="Arial" w:hAnsi="Arial" w:cs="Arial"/>
      </w:rPr>
    </w:pPr>
    <w:r>
      <w:rPr>
        <w:rFonts w:ascii="Arial" w:hAnsi="Arial" w:cs="Arial"/>
      </w:rPr>
      <w:t>CP Version 1.0</w:t>
    </w:r>
    <w:r>
      <w:rPr>
        <w:rFonts w:ascii="Arial" w:hAnsi="Arial" w:cs="Arial"/>
      </w:rPr>
      <w:tab/>
    </w:r>
    <w:r>
      <w:rPr>
        <w:rFonts w:ascii="Arial" w:hAnsi="Arial" w:cs="Arial"/>
      </w:rPr>
      <w:tab/>
    </w:r>
    <w:sdt>
      <w:sdtPr>
        <w:id w:val="-409692654"/>
        <w:docPartObj>
          <w:docPartGallery w:val="Page Numbers (Bottom of Page)"/>
          <w:docPartUnique/>
        </w:docPartObj>
      </w:sdtPr>
      <w:sdtEndPr/>
      <w:sdtContent>
        <w:sdt>
          <w:sdtPr>
            <w:id w:val="-959261878"/>
            <w:docPartObj>
              <w:docPartGallery w:val="Page Numbers (Top of Page)"/>
              <w:docPartUnique/>
            </w:docPartObj>
          </w:sdtPr>
          <w:sdtEndPr/>
          <w:sdtContent>
            <w:r>
              <w:t xml:space="preserve">  </w:t>
            </w:r>
            <w:r w:rsidRPr="00B424E4">
              <w:rPr>
                <w:rFonts w:ascii="Arial" w:hAnsi="Arial" w:cs="Arial"/>
              </w:rPr>
              <w:t xml:space="preserve">Page </w:t>
            </w:r>
            <w:r w:rsidRPr="00B424E4">
              <w:rPr>
                <w:rFonts w:ascii="Arial" w:hAnsi="Arial" w:cs="Arial"/>
              </w:rPr>
              <w:fldChar w:fldCharType="begin"/>
            </w:r>
            <w:r w:rsidRPr="00B424E4">
              <w:rPr>
                <w:rFonts w:ascii="Arial" w:hAnsi="Arial" w:cs="Arial"/>
              </w:rPr>
              <w:instrText xml:space="preserve"> PAGE </w:instrText>
            </w:r>
            <w:r w:rsidRPr="00B424E4">
              <w:rPr>
                <w:rFonts w:ascii="Arial" w:hAnsi="Arial" w:cs="Arial"/>
              </w:rPr>
              <w:fldChar w:fldCharType="separate"/>
            </w:r>
            <w:r>
              <w:rPr>
                <w:rFonts w:ascii="Arial" w:hAnsi="Arial" w:cs="Arial"/>
              </w:rPr>
              <w:t>1</w:t>
            </w:r>
            <w:r w:rsidRPr="00B424E4">
              <w:rPr>
                <w:rFonts w:ascii="Arial" w:hAnsi="Arial" w:cs="Arial"/>
              </w:rPr>
              <w:fldChar w:fldCharType="end"/>
            </w:r>
            <w:r w:rsidRPr="00B424E4">
              <w:rPr>
                <w:rFonts w:ascii="Arial" w:hAnsi="Arial" w:cs="Arial"/>
              </w:rPr>
              <w:t xml:space="preserve"> of </w:t>
            </w:r>
            <w:r>
              <w:rPr>
                <w:rFonts w:ascii="Arial" w:hAnsi="Arial" w:cs="Arial"/>
              </w:rPr>
              <w:t>3</w:t>
            </w:r>
          </w:sdtContent>
        </w:sdt>
      </w:sdtContent>
    </w:sdt>
  </w:p>
  <w:p w14:paraId="0D242755" w14:textId="10C9D6D5" w:rsidR="001456B0" w:rsidRPr="00F36485" w:rsidRDefault="001456B0" w:rsidP="001456B0">
    <w:pPr>
      <w:tabs>
        <w:tab w:val="right" w:pos="10080"/>
      </w:tabs>
      <w:rPr>
        <w:rFonts w:ascii="Arial" w:hAnsi="Arial" w:cs="Arial"/>
      </w:rPr>
    </w:pPr>
  </w:p>
  <w:p w14:paraId="7624D7AE" w14:textId="0E50D2FF" w:rsidR="001456B0" w:rsidRDefault="001456B0">
    <w:pPr>
      <w:pStyle w:val="Footer"/>
    </w:pPr>
  </w:p>
  <w:p w14:paraId="28B9F63D" w14:textId="77777777" w:rsidR="001456B0" w:rsidRDefault="0014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7DD5" w14:textId="77777777" w:rsidR="001456B0" w:rsidRDefault="001456B0" w:rsidP="001456B0">
      <w:pPr>
        <w:spacing w:after="0" w:line="240" w:lineRule="auto"/>
      </w:pPr>
      <w:r>
        <w:separator/>
      </w:r>
    </w:p>
  </w:footnote>
  <w:footnote w:type="continuationSeparator" w:id="0">
    <w:p w14:paraId="63467063" w14:textId="77777777" w:rsidR="001456B0" w:rsidRDefault="001456B0" w:rsidP="00145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C382" w14:textId="77777777" w:rsidR="00185D6F" w:rsidRPr="00820B58" w:rsidRDefault="001456B0" w:rsidP="00820B58">
    <w:pPr>
      <w:pStyle w:val="Header"/>
      <w:jc w:val="center"/>
      <w:rPr>
        <w:rFonts w:ascii="Arial" w:hAnsi="Arial" w:cs="Arial"/>
        <w:b/>
        <w:bCs/>
        <w:iCs/>
        <w:sz w:val="28"/>
        <w:szCs w:val="28"/>
      </w:rPr>
    </w:pPr>
    <w:r>
      <w:rPr>
        <w:rFonts w:ascii="Arial" w:hAnsi="Arial" w:cs="Arial"/>
        <w:b/>
        <w:bCs/>
        <w:iCs/>
        <w:sz w:val="28"/>
        <w:szCs w:val="28"/>
      </w:rPr>
      <w:t>Pelvic Radiographs</w:t>
    </w:r>
  </w:p>
  <w:p w14:paraId="419609C0" w14:textId="77777777" w:rsidR="00185D6F" w:rsidRPr="00B533FF" w:rsidRDefault="000B7020" w:rsidP="000C5830">
    <w:pPr>
      <w:pStyle w:val="Header"/>
      <w:jc w:val="center"/>
      <w:rPr>
        <w:rFonts w:ascii="Arial" w:hAnsi="Arial" w:cs="Arial"/>
        <w:b/>
        <w:bCs/>
        <w:iCs/>
        <w:sz w:val="28"/>
        <w:szCs w:val="28"/>
      </w:rPr>
    </w:pPr>
  </w:p>
  <w:p w14:paraId="3400D515" w14:textId="77777777" w:rsidR="00185D6F" w:rsidRPr="003B03E8" w:rsidRDefault="001456B0" w:rsidP="000C5830">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1EFB4FB0" w14:textId="77777777" w:rsidR="00185D6F" w:rsidRDefault="001456B0">
    <w:pPr>
      <w:pStyle w:val="Header"/>
      <w:rPr>
        <w:rFonts w:ascii="Arial" w:hAnsi="Arial" w:cs="Arial"/>
      </w:rPr>
    </w:pPr>
    <w:r w:rsidRPr="003B03E8">
      <w:rPr>
        <w:rFonts w:ascii="Arial" w:hAnsi="Arial" w:cs="Arial"/>
      </w:rPr>
      <w:tab/>
    </w:r>
    <w:r w:rsidRPr="003B03E8">
      <w:rPr>
        <w:rFonts w:ascii="Arial" w:hAnsi="Arial" w:cs="Arial"/>
      </w:rPr>
      <w:tab/>
      <w:t>Subject ID:</w:t>
    </w:r>
  </w:p>
  <w:p w14:paraId="2A2CCA3C" w14:textId="77777777" w:rsidR="00185D6F" w:rsidRPr="000C5830" w:rsidRDefault="000B7020">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B087" w14:textId="77777777" w:rsidR="00D9496A" w:rsidRPr="00820B58" w:rsidRDefault="001456B0" w:rsidP="00D9496A">
    <w:pPr>
      <w:pStyle w:val="Header"/>
      <w:jc w:val="center"/>
      <w:rPr>
        <w:rFonts w:ascii="Arial" w:hAnsi="Arial" w:cs="Arial"/>
        <w:b/>
        <w:bCs/>
        <w:iCs/>
        <w:sz w:val="28"/>
        <w:szCs w:val="28"/>
      </w:rPr>
    </w:pPr>
    <w:r>
      <w:rPr>
        <w:rFonts w:ascii="Arial" w:hAnsi="Arial" w:cs="Arial"/>
        <w:b/>
        <w:bCs/>
        <w:iCs/>
        <w:sz w:val="28"/>
        <w:szCs w:val="28"/>
      </w:rPr>
      <w:t xml:space="preserve">Pelvic Radiographs </w:t>
    </w:r>
    <w:r w:rsidRPr="00820B58">
      <w:rPr>
        <w:rFonts w:ascii="Arial" w:hAnsi="Arial" w:cs="Arial"/>
        <w:b/>
        <w:bCs/>
        <w:iCs/>
        <w:sz w:val="28"/>
        <w:szCs w:val="28"/>
      </w:rPr>
      <w:t>CRF Module Instructions</w:t>
    </w:r>
  </w:p>
  <w:p w14:paraId="4DA1E603" w14:textId="77777777" w:rsidR="00D9496A" w:rsidRPr="000C5830" w:rsidRDefault="000B7020">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B0"/>
    <w:rsid w:val="000B7020"/>
    <w:rsid w:val="001456B0"/>
    <w:rsid w:val="00222466"/>
    <w:rsid w:val="00231462"/>
    <w:rsid w:val="002D0412"/>
    <w:rsid w:val="003C705F"/>
    <w:rsid w:val="006948CC"/>
    <w:rsid w:val="00922E0B"/>
    <w:rsid w:val="009B3113"/>
    <w:rsid w:val="00D24EC1"/>
    <w:rsid w:val="00EB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FE229"/>
  <w15:chartTrackingRefBased/>
  <w15:docId w15:val="{9FDEEE84-BE8A-4DAA-9AC0-ECC2ECFD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0"/>
  </w:style>
  <w:style w:type="paragraph" w:styleId="Heading2">
    <w:name w:val="heading 2"/>
    <w:basedOn w:val="Heading5"/>
    <w:next w:val="Normal"/>
    <w:link w:val="Heading2Char"/>
    <w:uiPriority w:val="9"/>
    <w:unhideWhenUsed/>
    <w:qFormat/>
    <w:rsid w:val="001456B0"/>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5">
    <w:name w:val="heading 5"/>
    <w:basedOn w:val="Normal"/>
    <w:next w:val="Normal"/>
    <w:link w:val="Heading5Char"/>
    <w:uiPriority w:val="9"/>
    <w:semiHidden/>
    <w:unhideWhenUsed/>
    <w:qFormat/>
    <w:rsid w:val="001456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6B0"/>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145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B0"/>
  </w:style>
  <w:style w:type="character" w:customStyle="1" w:styleId="Heading5Char">
    <w:name w:val="Heading 5 Char"/>
    <w:basedOn w:val="DefaultParagraphFont"/>
    <w:link w:val="Heading5"/>
    <w:uiPriority w:val="9"/>
    <w:semiHidden/>
    <w:rsid w:val="001456B0"/>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145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642</Words>
  <Characters>3596</Characters>
  <Application>Microsoft Office Word</Application>
  <DocSecurity>0</DocSecurity>
  <Lines>224</Lines>
  <Paragraphs>132</Paragraphs>
  <ScaleCrop>false</ScaleCrop>
  <HeadingPairs>
    <vt:vector size="2" baseType="variant">
      <vt:variant>
        <vt:lpstr>Title</vt:lpstr>
      </vt:variant>
      <vt:variant>
        <vt:i4>1</vt:i4>
      </vt:variant>
    </vt:vector>
  </HeadingPairs>
  <TitlesOfParts>
    <vt:vector size="1" baseType="lpstr">
      <vt:lpstr>Pelvic Radiographs</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Pelvic Radiographs</dc:title>
  <dc:subject>CRF for Pelvic Radiographs</dc:subject>
  <dc:creator>NINDS</dc:creator>
  <cp:keywords>NINDS, CRF, Pelvic Radiographs</cp:keywords>
  <dc:description/>
  <cp:lastModifiedBy>Robin Feldman</cp:lastModifiedBy>
  <cp:revision>9</cp:revision>
  <dcterms:created xsi:type="dcterms:W3CDTF">2022-08-04T17:58:00Z</dcterms:created>
  <dcterms:modified xsi:type="dcterms:W3CDTF">2022-08-17T15:08:00Z</dcterms:modified>
  <cp:category>CRF</cp:category>
  <cp:contentStatus>508 Compliant</cp:contentStatus>
</cp:coreProperties>
</file>