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4B" w:rsidRPr="00627C94" w:rsidRDefault="002A6C4B" w:rsidP="00627C94">
      <w:pPr>
        <w:pStyle w:val="Heading2"/>
      </w:pPr>
      <w:r w:rsidRPr="00627C94">
        <w:t xml:space="preserve">Outcome Domain: </w:t>
      </w:r>
    </w:p>
    <w:p w:rsidR="002A6C4B" w:rsidRDefault="002A6C4B" w:rsidP="002A6C4B">
      <w:pPr>
        <w:rPr>
          <w:rFonts w:cs="Calibri"/>
        </w:rPr>
      </w:pPr>
      <w:r w:rsidRPr="002A6C4B">
        <w:rPr>
          <w:rFonts w:cs="Calibri"/>
        </w:rPr>
        <w:t xml:space="preserve">Social Role Participation and Social Competence </w:t>
      </w:r>
    </w:p>
    <w:p w:rsidR="002A6C4B" w:rsidRPr="00627C94" w:rsidRDefault="002A6C4B" w:rsidP="00627C94">
      <w:pPr>
        <w:pStyle w:val="Heading3"/>
      </w:pPr>
      <w:r w:rsidRPr="00627C94">
        <w:t xml:space="preserve">Domain Description and Relevance in TBI: </w:t>
      </w:r>
    </w:p>
    <w:p w:rsidR="002A6C4B" w:rsidRPr="00EA5A33" w:rsidRDefault="002A6C4B" w:rsidP="002A6C4B">
      <w:pPr>
        <w:rPr>
          <w:rFonts w:cs="Calibri"/>
        </w:rPr>
      </w:pPr>
      <w:r>
        <w:rPr>
          <w:rFonts w:cs="Calibri"/>
        </w:rPr>
        <w:t>“</w:t>
      </w:r>
      <w:r w:rsidRPr="002A6C4B">
        <w:rPr>
          <w:rFonts w:cs="Calibri"/>
        </w:rPr>
        <w:t>Participation is defined by the World Health Organization (WHO) as “involvement in life situations”, and commonly includes engagement in endeavors within one’s community. TBI affects many areas of participation including work/ productive activity, recreation and leisure pursuits, and social/ family role function.</w:t>
      </w:r>
      <w:r>
        <w:rPr>
          <w:rFonts w:cs="Calibri"/>
        </w:rPr>
        <w:t>”</w:t>
      </w:r>
      <w:r w:rsidRPr="00653E0A">
        <w:rPr>
          <w:rFonts w:cs="Calibri"/>
        </w:rPr>
        <w:t xml:space="preserve"> </w:t>
      </w:r>
      <w:r>
        <w:rPr>
          <w:rFonts w:cs="Calibri"/>
        </w:rPr>
        <w:t>– Wilde et al 2010</w:t>
      </w:r>
    </w:p>
    <w:p w:rsidR="00627C94" w:rsidRDefault="00627C94" w:rsidP="00627C94">
      <w:pPr>
        <w:pStyle w:val="Caption"/>
        <w:keepNext/>
      </w:pPr>
      <w:r>
        <w:t xml:space="preserve">Table </w:t>
      </w:r>
      <w:fldSimple w:instr=" SEQ Table \* ARABIC ">
        <w:r>
          <w:rPr>
            <w:noProof/>
          </w:rPr>
          <w:t>1</w:t>
        </w:r>
      </w:fldSimple>
      <w:r>
        <w:t xml:space="preserve"> </w:t>
      </w:r>
      <w:r w:rsidRPr="00167928">
        <w:t>CDE Classification by Type of TBI Study and Relevant Population for Recommended Social Role Participation and Social Competence Outcome Measures.</w:t>
      </w:r>
    </w:p>
    <w:tbl>
      <w:tblPr>
        <w:tblW w:w="9180" w:type="dxa"/>
        <w:tblInd w:w="108" w:type="dxa"/>
        <w:tblLayout w:type="fixed"/>
        <w:tblLook w:val="04A0" w:firstRow="1" w:lastRow="0" w:firstColumn="1" w:lastColumn="0" w:noHBand="0" w:noVBand="1"/>
      </w:tblPr>
      <w:tblGrid>
        <w:gridCol w:w="1890"/>
        <w:gridCol w:w="1170"/>
        <w:gridCol w:w="1530"/>
        <w:gridCol w:w="1530"/>
        <w:gridCol w:w="1530"/>
        <w:gridCol w:w="1530"/>
      </w:tblGrid>
      <w:tr w:rsidR="002A6C4B" w:rsidRPr="005463F4" w:rsidTr="00627C94">
        <w:trPr>
          <w:cantSplit/>
          <w:trHeight w:val="600"/>
          <w:tblHeader/>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2A6C4B" w:rsidRPr="00627C94" w:rsidRDefault="002A6C4B" w:rsidP="00BC0A6F">
            <w:pPr>
              <w:spacing w:after="0" w:line="240" w:lineRule="auto"/>
              <w:jc w:val="center"/>
              <w:rPr>
                <w:rFonts w:eastAsia="Times New Roman" w:cs="Calibri"/>
                <w:bCs/>
                <w:sz w:val="20"/>
                <w:szCs w:val="20"/>
              </w:rPr>
            </w:pPr>
            <w:r w:rsidRPr="00627C94">
              <w:rPr>
                <w:rFonts w:eastAsia="Times New Roman" w:cs="Calibri"/>
                <w:bCs/>
                <w:sz w:val="20"/>
                <w:szCs w:val="20"/>
              </w:rPr>
              <w:t>Outcome Measure Name</w:t>
            </w:r>
          </w:p>
        </w:tc>
        <w:tc>
          <w:tcPr>
            <w:tcW w:w="1170" w:type="dxa"/>
            <w:tcBorders>
              <w:top w:val="single" w:sz="4" w:space="0" w:color="auto"/>
              <w:left w:val="nil"/>
              <w:bottom w:val="single" w:sz="4" w:space="0" w:color="auto"/>
              <w:right w:val="single" w:sz="4" w:space="0" w:color="auto"/>
            </w:tcBorders>
            <w:shd w:val="clear" w:color="000000" w:fill="FFFFFF"/>
            <w:hideMark/>
          </w:tcPr>
          <w:p w:rsidR="002A6C4B" w:rsidRPr="00627C94" w:rsidRDefault="002A6C4B" w:rsidP="00BC0A6F">
            <w:pPr>
              <w:spacing w:after="0" w:line="240" w:lineRule="auto"/>
              <w:jc w:val="center"/>
              <w:rPr>
                <w:rFonts w:eastAsia="Times New Roman" w:cs="Calibri"/>
                <w:bCs/>
                <w:sz w:val="20"/>
                <w:szCs w:val="20"/>
              </w:rPr>
            </w:pPr>
            <w:r w:rsidRPr="00627C94">
              <w:rPr>
                <w:rFonts w:eastAsia="Times New Roman" w:cs="Calibri"/>
                <w:bCs/>
                <w:sz w:val="20"/>
                <w:szCs w:val="20"/>
              </w:rPr>
              <w:t>Relevant TBI Population</w:t>
            </w:r>
          </w:p>
        </w:tc>
        <w:tc>
          <w:tcPr>
            <w:tcW w:w="1530" w:type="dxa"/>
            <w:tcBorders>
              <w:top w:val="single" w:sz="4" w:space="0" w:color="auto"/>
              <w:left w:val="nil"/>
              <w:bottom w:val="single" w:sz="4" w:space="0" w:color="auto"/>
              <w:right w:val="single" w:sz="4" w:space="0" w:color="auto"/>
            </w:tcBorders>
            <w:shd w:val="clear" w:color="000000" w:fill="FFFFFF"/>
            <w:hideMark/>
          </w:tcPr>
          <w:p w:rsidR="002A6C4B" w:rsidRPr="00627C94" w:rsidRDefault="002A6C4B" w:rsidP="00BC0A6F">
            <w:pPr>
              <w:spacing w:after="0" w:line="240" w:lineRule="auto"/>
              <w:jc w:val="center"/>
              <w:rPr>
                <w:rFonts w:eastAsia="Times New Roman" w:cs="Calibri"/>
                <w:bCs/>
                <w:sz w:val="20"/>
                <w:szCs w:val="20"/>
              </w:rPr>
            </w:pPr>
            <w:r w:rsidRPr="00627C94">
              <w:rPr>
                <w:rFonts w:eastAsia="Times New Roman" w:cs="Calibri"/>
                <w:bCs/>
                <w:sz w:val="20"/>
                <w:szCs w:val="20"/>
              </w:rPr>
              <w:t>Acute Hospitalized</w:t>
            </w:r>
          </w:p>
        </w:tc>
        <w:tc>
          <w:tcPr>
            <w:tcW w:w="1530" w:type="dxa"/>
            <w:tcBorders>
              <w:top w:val="single" w:sz="4" w:space="0" w:color="auto"/>
              <w:left w:val="nil"/>
              <w:bottom w:val="single" w:sz="4" w:space="0" w:color="auto"/>
              <w:right w:val="single" w:sz="4" w:space="0" w:color="auto"/>
            </w:tcBorders>
            <w:shd w:val="clear" w:color="000000" w:fill="FFFFFF"/>
            <w:hideMark/>
          </w:tcPr>
          <w:p w:rsidR="002A6C4B" w:rsidRPr="00627C94" w:rsidRDefault="002A6C4B" w:rsidP="00BC0A6F">
            <w:pPr>
              <w:spacing w:after="0" w:line="240" w:lineRule="auto"/>
              <w:jc w:val="center"/>
              <w:rPr>
                <w:rFonts w:eastAsia="Times New Roman" w:cs="Calibri"/>
                <w:bCs/>
                <w:sz w:val="20"/>
                <w:szCs w:val="20"/>
              </w:rPr>
            </w:pPr>
            <w:r w:rsidRPr="00627C94">
              <w:rPr>
                <w:rFonts w:eastAsia="Times New Roman" w:cs="Calibri"/>
                <w:bCs/>
                <w:sz w:val="20"/>
                <w:szCs w:val="20"/>
              </w:rPr>
              <w:t>Moderate/ Severe Rehabilitation</w:t>
            </w:r>
          </w:p>
        </w:tc>
        <w:tc>
          <w:tcPr>
            <w:tcW w:w="1530" w:type="dxa"/>
            <w:tcBorders>
              <w:top w:val="single" w:sz="4" w:space="0" w:color="auto"/>
              <w:left w:val="nil"/>
              <w:bottom w:val="single" w:sz="4" w:space="0" w:color="auto"/>
              <w:right w:val="single" w:sz="4" w:space="0" w:color="auto"/>
            </w:tcBorders>
            <w:shd w:val="clear" w:color="000000" w:fill="FFFFFF"/>
          </w:tcPr>
          <w:p w:rsidR="002A6C4B" w:rsidRPr="00627C94" w:rsidRDefault="002A6C4B" w:rsidP="00BC0A6F">
            <w:pPr>
              <w:spacing w:after="0" w:line="240" w:lineRule="auto"/>
              <w:jc w:val="center"/>
              <w:rPr>
                <w:rFonts w:eastAsia="Times New Roman" w:cs="Calibri"/>
                <w:bCs/>
                <w:sz w:val="20"/>
                <w:szCs w:val="20"/>
              </w:rPr>
            </w:pPr>
            <w:r w:rsidRPr="00627C94">
              <w:rPr>
                <w:rFonts w:eastAsia="Times New Roman" w:cs="Calibri"/>
                <w:bCs/>
                <w:sz w:val="20"/>
                <w:szCs w:val="20"/>
              </w:rPr>
              <w:t>Concussion/ Mild TBI</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2A6C4B" w:rsidRPr="00627C94" w:rsidRDefault="002A6C4B" w:rsidP="00BC0A6F">
            <w:pPr>
              <w:spacing w:after="0" w:line="240" w:lineRule="auto"/>
              <w:jc w:val="center"/>
              <w:rPr>
                <w:rFonts w:eastAsia="Times New Roman" w:cs="Calibri"/>
                <w:bCs/>
                <w:sz w:val="20"/>
                <w:szCs w:val="20"/>
              </w:rPr>
            </w:pPr>
            <w:r w:rsidRPr="00627C94">
              <w:rPr>
                <w:rFonts w:eastAsia="Times New Roman" w:cs="Calibri"/>
                <w:bCs/>
                <w:sz w:val="20"/>
                <w:szCs w:val="20"/>
              </w:rPr>
              <w:t>Epidemiology</w:t>
            </w:r>
          </w:p>
        </w:tc>
      </w:tr>
      <w:tr w:rsidR="002A6C4B" w:rsidRPr="002A6C4B" w:rsidTr="00627C94">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Child and Adolescent Scale of Participation (CASP)</w:t>
            </w:r>
          </w:p>
        </w:tc>
        <w:tc>
          <w:tcPr>
            <w:tcW w:w="117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r>
      <w:tr w:rsidR="002A6C4B" w:rsidRPr="002A6C4B" w:rsidTr="00627C94">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Child Behavior Checklist: Social Competence Scale</w:t>
            </w:r>
          </w:p>
        </w:tc>
        <w:tc>
          <w:tcPr>
            <w:tcW w:w="117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r>
      <w:tr w:rsidR="002A6C4B" w:rsidRPr="002A6C4B" w:rsidTr="00627C94">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Craig Handicap and Assessment Reporting Technique (CHART-SF)</w:t>
            </w:r>
          </w:p>
        </w:tc>
        <w:tc>
          <w:tcPr>
            <w:tcW w:w="117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 xml:space="preserve">Adult </w:t>
            </w:r>
          </w:p>
        </w:tc>
        <w:tc>
          <w:tcPr>
            <w:tcW w:w="153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r>
      <w:tr w:rsidR="002A6C4B" w:rsidRPr="002A6C4B" w:rsidTr="00627C94">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Participation Assessment with Recombined Tools (PART)</w:t>
            </w:r>
          </w:p>
        </w:tc>
        <w:tc>
          <w:tcPr>
            <w:tcW w:w="1170" w:type="dxa"/>
            <w:tcBorders>
              <w:top w:val="single" w:sz="4" w:space="0" w:color="auto"/>
              <w:left w:val="nil"/>
              <w:bottom w:val="single" w:sz="4" w:space="0" w:color="auto"/>
              <w:right w:val="single" w:sz="4" w:space="0" w:color="auto"/>
            </w:tcBorders>
            <w:shd w:val="clear" w:color="000000" w:fill="FFFFFF"/>
            <w:hideMark/>
          </w:tcPr>
          <w:p w:rsidR="002A6C4B" w:rsidRPr="00627C94" w:rsidRDefault="002A6C4B" w:rsidP="00627C94">
            <w:pPr>
              <w:spacing w:after="0" w:line="240" w:lineRule="auto"/>
              <w:jc w:val="center"/>
              <w:rPr>
                <w:rFonts w:eastAsia="Times New Roman" w:cs="Calibri"/>
                <w:bCs/>
                <w:sz w:val="20"/>
                <w:szCs w:val="20"/>
              </w:rPr>
            </w:pPr>
            <w:r w:rsidRPr="002A6C4B">
              <w:rPr>
                <w:rFonts w:eastAsia="Times New Roman" w:cs="Calibri"/>
                <w:bCs/>
                <w:sz w:val="20"/>
                <w:szCs w:val="20"/>
              </w:rPr>
              <w:t xml:space="preserve">Adult </w:t>
            </w:r>
          </w:p>
        </w:tc>
        <w:tc>
          <w:tcPr>
            <w:tcW w:w="153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r>
      <w:tr w:rsidR="002A6C4B" w:rsidRPr="002A6C4B" w:rsidTr="00627C94">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Pediatric Evaluation of Disability Inventory (PEDI): Social Functioning Scale</w:t>
            </w:r>
          </w:p>
        </w:tc>
        <w:tc>
          <w:tcPr>
            <w:tcW w:w="117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r>
      <w:tr w:rsidR="002A6C4B" w:rsidRPr="002A6C4B" w:rsidTr="00627C94">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Pediatric Quality of Life Inventory: Social subscale</w:t>
            </w:r>
          </w:p>
        </w:tc>
        <w:tc>
          <w:tcPr>
            <w:tcW w:w="117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r>
      <w:tr w:rsidR="002A6C4B" w:rsidRPr="002A6C4B" w:rsidTr="00627C94">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Social Skills Rating Scale (SSRS)</w:t>
            </w:r>
          </w:p>
        </w:tc>
        <w:tc>
          <w:tcPr>
            <w:tcW w:w="117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r>
      <w:tr w:rsidR="002A6C4B" w:rsidRPr="002A6C4B" w:rsidTr="00627C94">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Strengths and Difficulties Questionnaire, Peer Relations and Prosocial Behavior subscales</w:t>
            </w:r>
          </w:p>
        </w:tc>
        <w:tc>
          <w:tcPr>
            <w:tcW w:w="117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r>
      <w:tr w:rsidR="002A6C4B" w:rsidRPr="002A6C4B" w:rsidTr="00627C94">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Vineland-II, Socialization scale</w:t>
            </w:r>
          </w:p>
        </w:tc>
        <w:tc>
          <w:tcPr>
            <w:tcW w:w="117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2A6C4B" w:rsidRPr="002A6C4B" w:rsidRDefault="002A6C4B" w:rsidP="002A6C4B">
            <w:pPr>
              <w:spacing w:after="0" w:line="240" w:lineRule="auto"/>
              <w:jc w:val="center"/>
              <w:rPr>
                <w:rFonts w:eastAsia="Times New Roman" w:cs="Calibri"/>
                <w:bCs/>
                <w:sz w:val="20"/>
                <w:szCs w:val="20"/>
              </w:rPr>
            </w:pPr>
            <w:r w:rsidRPr="002A6C4B">
              <w:rPr>
                <w:rFonts w:eastAsia="Times New Roman" w:cs="Calibri"/>
                <w:bCs/>
                <w:sz w:val="20"/>
                <w:szCs w:val="20"/>
              </w:rPr>
              <w:t>Supplemental</w:t>
            </w:r>
          </w:p>
        </w:tc>
      </w:tr>
    </w:tbl>
    <w:p w:rsidR="002A6C4B" w:rsidRPr="005463F4" w:rsidRDefault="002A6C4B" w:rsidP="00AF27C5">
      <w:pPr>
        <w:pStyle w:val="Heading3"/>
      </w:pPr>
      <w:r w:rsidRPr="005463F4">
        <w:lastRenderedPageBreak/>
        <w:t>Ref</w:t>
      </w:r>
      <w:bookmarkStart w:id="0" w:name="_GoBack"/>
      <w:bookmarkEnd w:id="0"/>
      <w:r w:rsidRPr="005463F4">
        <w:t>erences</w:t>
      </w:r>
    </w:p>
    <w:p w:rsidR="002A6C4B" w:rsidRDefault="002A6C4B" w:rsidP="002A6C4B">
      <w:pPr>
        <w:rPr>
          <w:rFonts w:cs="Calibri"/>
        </w:rPr>
      </w:pPr>
      <w:r w:rsidRPr="005463F4">
        <w:rPr>
          <w:rFonts w:cs="Calibri"/>
        </w:rPr>
        <w:t>McCauley SR, Wilde EA, Anderson VA, Bedell G, Beers SR, Campbell TF, Chapman SB, Ewing-Cobbs L, Gerring JP, Gioia GA, Levin HS, Michaud LJ, Prasad MR, Swaine BR, Turkstra LS, Wade SL, Yeates KO. Recommendations for the Use of Common Outcome Measures in Pediatric Traumatic Brain Injury Research. J Neurotrauma. 2012 March; 29: 678-705. PubMed PMID: 21644810.</w:t>
      </w:r>
    </w:p>
    <w:p w:rsidR="002A6C4B" w:rsidRPr="006D07FA" w:rsidRDefault="002A6C4B" w:rsidP="002A6C4B">
      <w:pPr>
        <w:rPr>
          <w:rFonts w:cs="Calibri"/>
          <w:b/>
        </w:rPr>
      </w:pPr>
      <w:r w:rsidRPr="004233FE">
        <w:rPr>
          <w:rFonts w:cs="Calibri"/>
        </w:rPr>
        <w:t>Wilde EA, Whiteneck GG, Bogner J, Bushnik T, Cifu DX, Dikmen S, French L, Giacino JT, Hart T, Malec JF, Millis SR, Novack TA, Sherer M, Tulsky DS, Vanderploeg RD, von Steinbuechel N. Recommendations for the use of common outcome measures in traumatic brain injury research. Arch Phys Med Rehabil. 2010 Nov;91(11):1650-1660.e17. [DOI: 10.1016/j.apmr.2010.06.033]</w:t>
      </w:r>
    </w:p>
    <w:p w:rsidR="004E289F" w:rsidRPr="002A6C4B" w:rsidRDefault="002A6C4B" w:rsidP="00627C94">
      <w:pPr>
        <w:pStyle w:val="Heading2"/>
      </w:pPr>
      <w:r w:rsidRPr="002A6C4B">
        <w:br w:type="page"/>
      </w:r>
      <w:r w:rsidR="004E289F" w:rsidRPr="002A6C4B">
        <w:lastRenderedPageBreak/>
        <w:t>Child and Adolescent Scale of Participation (CASP)</w:t>
      </w:r>
    </w:p>
    <w:p w:rsidR="004E289F" w:rsidRPr="002A6C4B" w:rsidRDefault="004E289F" w:rsidP="00627C94">
      <w:pPr>
        <w:pStyle w:val="Heading3"/>
      </w:pPr>
      <w:r w:rsidRPr="002A6C4B">
        <w:t>DESCRIPTION</w:t>
      </w:r>
    </w:p>
    <w:p w:rsidR="00792F14" w:rsidRPr="002A6C4B" w:rsidRDefault="00196D4E" w:rsidP="004E289F">
      <w:pPr>
        <w:rPr>
          <w:rFonts w:cs="Calibri"/>
        </w:rPr>
      </w:pPr>
      <w:r w:rsidRPr="002A6C4B">
        <w:rPr>
          <w:rFonts w:cs="Calibri"/>
        </w:rPr>
        <w:t>The CAPS</w:t>
      </w:r>
      <w:r w:rsidR="00792F14" w:rsidRPr="002A6C4B">
        <w:rPr>
          <w:rFonts w:cs="Calibri"/>
        </w:rPr>
        <w:t xml:space="preserve"> is a parent/ guardian report </w:t>
      </w:r>
      <w:r w:rsidR="00894E5C" w:rsidRPr="002A6C4B">
        <w:rPr>
          <w:rFonts w:cs="Calibri"/>
        </w:rPr>
        <w:t xml:space="preserve">that </w:t>
      </w:r>
      <w:r w:rsidR="00792F14" w:rsidRPr="002A6C4B">
        <w:rPr>
          <w:rFonts w:cs="Calibri"/>
        </w:rPr>
        <w:t xml:space="preserve">was designed to </w:t>
      </w:r>
      <w:r w:rsidR="00AF27C5" w:rsidRPr="002A6C4B">
        <w:rPr>
          <w:rFonts w:cs="Calibri"/>
        </w:rPr>
        <w:t>identify</w:t>
      </w:r>
      <w:r w:rsidR="00792F14" w:rsidRPr="002A6C4B">
        <w:rPr>
          <w:rFonts w:cs="Calibri"/>
        </w:rPr>
        <w:t xml:space="preserve"> factors that influence a child’s participation in activities in multiple settings including home, school and community. The measure has 20-items which address </w:t>
      </w:r>
      <w:r w:rsidR="00695255" w:rsidRPr="002A6C4B">
        <w:rPr>
          <w:rFonts w:cs="Calibri"/>
        </w:rPr>
        <w:t>social and leisure activities, school activities, and independent and daily living activities</w:t>
      </w:r>
      <w:r w:rsidR="00792F14" w:rsidRPr="002A6C4B">
        <w:rPr>
          <w:rFonts w:cs="Calibri"/>
        </w:rPr>
        <w:t xml:space="preserve">. </w:t>
      </w:r>
    </w:p>
    <w:p w:rsidR="004E289F" w:rsidRPr="002A6C4B" w:rsidRDefault="004E289F" w:rsidP="00627C94">
      <w:pPr>
        <w:pStyle w:val="Heading3"/>
      </w:pPr>
      <w:r w:rsidRPr="002A6C4B">
        <w:t>PERMISSIBLE VALUES</w:t>
      </w:r>
    </w:p>
    <w:p w:rsidR="00695255" w:rsidRPr="002A6C4B" w:rsidRDefault="00695255" w:rsidP="004E289F">
      <w:pPr>
        <w:rPr>
          <w:rFonts w:cs="Calibri"/>
        </w:rPr>
      </w:pPr>
      <w:r w:rsidRPr="002A6C4B">
        <w:rPr>
          <w:rFonts w:cs="Calibri"/>
        </w:rPr>
        <w:t>Twenty items are rated on a 4-point</w:t>
      </w:r>
      <w:r w:rsidR="00AF27C5">
        <w:rPr>
          <w:rFonts w:cs="Calibri"/>
        </w:rPr>
        <w:t xml:space="preserve"> Likert scale. </w:t>
      </w:r>
      <w:r w:rsidRPr="002A6C4B">
        <w:rPr>
          <w:rFonts w:cs="Calibri"/>
        </w:rPr>
        <w:t>A score on a 100-point scale is generated by summing the scores, dividing the sum by the sum of all applicable items, and multiplying by 100. Higher scores indicate greater age-expected participation. Subsection scores can also be determined.</w:t>
      </w:r>
    </w:p>
    <w:p w:rsidR="00695255" w:rsidRPr="002A6C4B" w:rsidRDefault="004E289F" w:rsidP="00627C94">
      <w:pPr>
        <w:pStyle w:val="Heading3"/>
      </w:pPr>
      <w:r w:rsidRPr="002A6C4B">
        <w:t>PROCEDURE</w:t>
      </w:r>
    </w:p>
    <w:p w:rsidR="004E289F" w:rsidRPr="002A6C4B" w:rsidRDefault="00695255" w:rsidP="004E289F">
      <w:pPr>
        <w:rPr>
          <w:rFonts w:cs="Calibri"/>
          <w:b/>
        </w:rPr>
      </w:pPr>
      <w:r w:rsidRPr="002A6C4B">
        <w:rPr>
          <w:rFonts w:cs="Calibri"/>
        </w:rPr>
        <w:t>The CASP is completed by the parent/guardian and takes 10 to 15 minutes to complete.</w:t>
      </w:r>
      <w:r w:rsidR="004E289F" w:rsidRPr="002A6C4B">
        <w:rPr>
          <w:rFonts w:cs="Calibri"/>
        </w:rPr>
        <w:tab/>
      </w:r>
    </w:p>
    <w:p w:rsidR="004E289F" w:rsidRPr="002A6C4B" w:rsidRDefault="004E289F" w:rsidP="00627C94">
      <w:pPr>
        <w:pStyle w:val="Heading3"/>
      </w:pPr>
      <w:r w:rsidRPr="002A6C4B">
        <w:t>COMMENTS</w:t>
      </w:r>
    </w:p>
    <w:p w:rsidR="00695255" w:rsidRPr="002A6C4B" w:rsidRDefault="00695255" w:rsidP="004E289F">
      <w:pPr>
        <w:rPr>
          <w:rFonts w:cs="Calibri"/>
        </w:rPr>
      </w:pPr>
      <w:r w:rsidRPr="002A6C4B">
        <w:rPr>
          <w:rFonts w:cs="Calibri"/>
        </w:rPr>
        <w:t>The instrument is appropriate for use with children ages 3-21 years.</w:t>
      </w:r>
    </w:p>
    <w:p w:rsidR="004E289F" w:rsidRPr="002A6C4B" w:rsidRDefault="004E289F" w:rsidP="00627C94">
      <w:pPr>
        <w:pStyle w:val="Heading3"/>
      </w:pPr>
      <w:r w:rsidRPr="002A6C4B">
        <w:t>RATIONALE</w:t>
      </w:r>
    </w:p>
    <w:p w:rsidR="00695255" w:rsidRPr="002A6C4B" w:rsidRDefault="00DE235A" w:rsidP="004E289F">
      <w:pPr>
        <w:rPr>
          <w:rFonts w:cs="Calibri"/>
        </w:rPr>
      </w:pPr>
      <w:r>
        <w:rPr>
          <w:rFonts w:cs="Calibri"/>
        </w:rPr>
        <w:t>“</w:t>
      </w:r>
      <w:r w:rsidR="00695255" w:rsidRPr="002A6C4B">
        <w:rPr>
          <w:rFonts w:cs="Calibri"/>
        </w:rPr>
        <w:t xml:space="preserve">The CASP has been used in studies with children and youth with </w:t>
      </w:r>
      <w:r>
        <w:rPr>
          <w:rFonts w:cs="Calibri"/>
        </w:rPr>
        <w:t>TBI in the U.S. and worldwide.” – McCauley et al. 2012</w:t>
      </w:r>
    </w:p>
    <w:p w:rsidR="002772D0" w:rsidRPr="002A6C4B" w:rsidRDefault="004E289F" w:rsidP="00627C94">
      <w:pPr>
        <w:pStyle w:val="Heading3"/>
      </w:pPr>
      <w:r w:rsidRPr="002A6C4B">
        <w:t xml:space="preserve">REFERENCES </w:t>
      </w:r>
    </w:p>
    <w:p w:rsidR="00695255" w:rsidRPr="002A6C4B" w:rsidRDefault="00695255" w:rsidP="00695255">
      <w:pPr>
        <w:rPr>
          <w:rFonts w:cs="Calibri"/>
        </w:rPr>
      </w:pPr>
      <w:r w:rsidRPr="002A6C4B">
        <w:rPr>
          <w:rFonts w:cs="Calibri"/>
        </w:rPr>
        <w:t>Bedell, G. (2004). Developing a follow-up survey focused on participation of children and youth with acquired brain injuries after inpatient rehabilitation. NeuroRehabilitation 19, 191-205.</w:t>
      </w:r>
    </w:p>
    <w:p w:rsidR="00695255" w:rsidRPr="002A6C4B" w:rsidRDefault="00695255" w:rsidP="00695255">
      <w:pPr>
        <w:rPr>
          <w:rFonts w:cs="Calibri"/>
        </w:rPr>
      </w:pPr>
      <w:r w:rsidRPr="002A6C4B">
        <w:rPr>
          <w:rFonts w:cs="Calibri"/>
        </w:rPr>
        <w:t>Ziviani, J., Desha, L., Feeney, R., and Boyd, R. (2010). Measures of participation outcomes and environmental considerations for children with acquired brain injury: A systematic review. Brain Imp 11(2), 93-112.</w:t>
      </w:r>
    </w:p>
    <w:p w:rsidR="00695255" w:rsidRPr="002A6C4B" w:rsidRDefault="00695255" w:rsidP="00695255">
      <w:pPr>
        <w:rPr>
          <w:rFonts w:cs="Calibri"/>
        </w:rPr>
      </w:pPr>
      <w:r w:rsidRPr="002A6C4B">
        <w:rPr>
          <w:rFonts w:cs="Calibri"/>
        </w:rPr>
        <w:t>Bedell, G., and Dumas, H. (2004). Social participation of children and youth with acquired brain injuries discharged from inpatient rehabilitation: A follow-up study. Brain Inj 18, 65-82.</w:t>
      </w:r>
    </w:p>
    <w:p w:rsidR="00695255" w:rsidRPr="002A6C4B" w:rsidRDefault="00695255" w:rsidP="00695255">
      <w:pPr>
        <w:rPr>
          <w:rFonts w:cs="Calibri"/>
        </w:rPr>
      </w:pPr>
      <w:r w:rsidRPr="002A6C4B">
        <w:rPr>
          <w:rFonts w:cs="Calibri"/>
        </w:rPr>
        <w:t>Galvin, J., Froude, E., and McAleer, J. (2010). Children's participation in home, school and community life after acquired brain injury. Aust Occup Ther J 57, 118-126.</w:t>
      </w:r>
    </w:p>
    <w:p w:rsidR="00695255" w:rsidRPr="002A6C4B" w:rsidRDefault="00695255" w:rsidP="00695255">
      <w:pPr>
        <w:rPr>
          <w:rFonts w:cs="Calibri"/>
        </w:rPr>
      </w:pPr>
      <w:r w:rsidRPr="002A6C4B">
        <w:rPr>
          <w:rFonts w:cs="Calibri"/>
        </w:rPr>
        <w:t>Wells, R., Minnes, P., and Phillips, M. (2009). Predicting social and functional outcomes for individuals sustaining paediatric traumatic brain injury. Dev Neurorehabil 12, 2-23.</w:t>
      </w:r>
    </w:p>
    <w:p w:rsidR="00695255" w:rsidRPr="002A6C4B" w:rsidRDefault="00695255" w:rsidP="00695255">
      <w:pPr>
        <w:rPr>
          <w:rFonts w:cs="Calibri"/>
        </w:rPr>
      </w:pPr>
      <w:r w:rsidRPr="002A6C4B">
        <w:rPr>
          <w:rFonts w:cs="Calibri"/>
        </w:rPr>
        <w:lastRenderedPageBreak/>
        <w:t>Bedell, G. (2009). Further validation of the Child and Adolescent Scale of Participation (CASP). Dev Neurorehabil 12, 342-351.</w:t>
      </w:r>
    </w:p>
    <w:p w:rsidR="00695255" w:rsidRPr="002A6C4B" w:rsidRDefault="00695255" w:rsidP="00695255">
      <w:pPr>
        <w:rPr>
          <w:rFonts w:cs="Calibri"/>
        </w:rPr>
      </w:pPr>
      <w:r w:rsidRPr="002A6C4B">
        <w:rPr>
          <w:rFonts w:cs="Calibri"/>
        </w:rPr>
        <w:t>Elliott, S., Gresham, F., Freeman, T., and McCloskey, G. (1988). Teacher and observer ratings of children's social skills: Validation of the Social Skills Rating Scale. J Psychoeduc Assess 6, 152-161.</w:t>
      </w:r>
    </w:p>
    <w:p w:rsidR="002A6C4B" w:rsidRPr="002A6C4B" w:rsidRDefault="002A6C4B" w:rsidP="00627C94">
      <w:pPr>
        <w:pStyle w:val="Heading2"/>
      </w:pPr>
      <w:r w:rsidRPr="002A6C4B">
        <w:br w:type="page"/>
      </w:r>
      <w:r w:rsidRPr="002A6C4B">
        <w:lastRenderedPageBreak/>
        <w:t>Child Behavior Checklist: Social Competence Scale</w:t>
      </w:r>
    </w:p>
    <w:p w:rsidR="002A6C4B" w:rsidRPr="005463F4" w:rsidRDefault="002A6C4B" w:rsidP="00627C94">
      <w:pPr>
        <w:pStyle w:val="Heading3"/>
      </w:pPr>
      <w:r w:rsidRPr="005463F4">
        <w:t>DESCRIPTION</w:t>
      </w:r>
    </w:p>
    <w:p w:rsidR="002A6C4B" w:rsidRPr="005463F4" w:rsidRDefault="002A6C4B" w:rsidP="002A6C4B">
      <w:pPr>
        <w:spacing w:after="120"/>
        <w:rPr>
          <w:rFonts w:cs="Calibri"/>
        </w:rPr>
      </w:pPr>
      <w:r w:rsidRPr="005463F4">
        <w:rPr>
          <w:rFonts w:cs="Calibri"/>
        </w:rPr>
        <w:t>The Child Behavior Checklist measures a child’s competencies by using their parent’s perception of their performance on three scales, which include activities, social and school. Separate forms for ages 1.5 to 5 years and 6 to 18 years, as well as separate forms to be filled out by the parent/caregiver or teacher, are available. Scores for three competence scales and a total competence score can be computed.</w:t>
      </w:r>
    </w:p>
    <w:p w:rsidR="002A6C4B" w:rsidRPr="005463F4" w:rsidRDefault="002A6C4B" w:rsidP="00627C94">
      <w:pPr>
        <w:pStyle w:val="Heading3"/>
      </w:pPr>
      <w:r w:rsidRPr="005463F4">
        <w:t xml:space="preserve">PERMISSIBLE VALUES </w:t>
      </w:r>
    </w:p>
    <w:p w:rsidR="002A6C4B" w:rsidRPr="005463F4" w:rsidRDefault="002A6C4B" w:rsidP="002A6C4B">
      <w:pPr>
        <w:spacing w:after="120"/>
        <w:rPr>
          <w:rFonts w:cs="Calibri"/>
        </w:rPr>
      </w:pPr>
      <w:r w:rsidRPr="005463F4">
        <w:rPr>
          <w:rFonts w:cs="Calibri"/>
        </w:rPr>
        <w:t xml:space="preserve">Raw scores, </w:t>
      </w:r>
      <w:r w:rsidRPr="005463F4">
        <w:rPr>
          <w:rFonts w:cs="Calibri"/>
          <w:i/>
        </w:rPr>
        <w:t>t</w:t>
      </w:r>
      <w:r w:rsidRPr="005463F4">
        <w:rPr>
          <w:rFonts w:cs="Calibri"/>
        </w:rPr>
        <w:t xml:space="preserve"> scores (M=50, SD=10), and percentiles are given based on test results. The value of</w:t>
      </w:r>
      <w:r w:rsidRPr="005463F4">
        <w:rPr>
          <w:rFonts w:cs="Calibri"/>
          <w:i/>
        </w:rPr>
        <w:t xml:space="preserve"> t</w:t>
      </w:r>
      <w:r w:rsidRPr="005463F4">
        <w:rPr>
          <w:rFonts w:cs="Calibri"/>
        </w:rPr>
        <w:t xml:space="preserve"> scores for each range varies depending on the scale; in some scales higher</w:t>
      </w:r>
      <w:r w:rsidRPr="005463F4">
        <w:rPr>
          <w:rFonts w:cs="Calibri"/>
          <w:i/>
        </w:rPr>
        <w:t xml:space="preserve"> t</w:t>
      </w:r>
      <w:r w:rsidRPr="005463F4">
        <w:rPr>
          <w:rFonts w:cs="Calibri"/>
        </w:rPr>
        <w:t xml:space="preserve"> scores are associated with normal functioning and on others lower </w:t>
      </w:r>
      <w:r w:rsidRPr="005463F4">
        <w:rPr>
          <w:rFonts w:cs="Calibri"/>
          <w:i/>
        </w:rPr>
        <w:t>t</w:t>
      </w:r>
      <w:r w:rsidRPr="005463F4">
        <w:rPr>
          <w:rFonts w:cs="Calibri"/>
        </w:rPr>
        <w:t xml:space="preserve"> scores are associ</w:t>
      </w:r>
      <w:r w:rsidR="00627C94">
        <w:rPr>
          <w:rFonts w:cs="Calibri"/>
        </w:rPr>
        <w:t xml:space="preserve">ated with normal functioning. </w:t>
      </w:r>
    </w:p>
    <w:p w:rsidR="002A6C4B" w:rsidRPr="005463F4" w:rsidRDefault="002A6C4B" w:rsidP="00627C94">
      <w:pPr>
        <w:pStyle w:val="Heading3"/>
      </w:pPr>
      <w:r w:rsidRPr="005463F4">
        <w:t xml:space="preserve">PROCEDURES </w:t>
      </w:r>
    </w:p>
    <w:p w:rsidR="002A6C4B" w:rsidRPr="005463F4" w:rsidRDefault="002A6C4B" w:rsidP="002A6C4B">
      <w:pPr>
        <w:spacing w:after="120"/>
        <w:rPr>
          <w:rFonts w:cs="Calibri"/>
        </w:rPr>
      </w:pPr>
      <w:r w:rsidRPr="005463F4">
        <w:rPr>
          <w:rFonts w:cs="Calibri"/>
        </w:rPr>
        <w:t xml:space="preserve">The CBCL can be completed independently by the caregiver or administered by a professional familiar with the CBCL manual. Test can be completed by paper/pencil, online, or on a scannable form. The entire test, which includes the school competence scale, lasts approximately 25-30 minutes. Skills commensurate with at least </w:t>
      </w:r>
      <w:r>
        <w:rPr>
          <w:rFonts w:cs="Calibri"/>
        </w:rPr>
        <w:t>a</w:t>
      </w:r>
      <w:r w:rsidRPr="005463F4">
        <w:rPr>
          <w:rFonts w:cs="Calibri"/>
        </w:rPr>
        <w:t xml:space="preserve"> Master’s degree level in psychology, social work, or special </w:t>
      </w:r>
      <w:r>
        <w:rPr>
          <w:rFonts w:cs="Calibri"/>
        </w:rPr>
        <w:t xml:space="preserve">education </w:t>
      </w:r>
      <w:r w:rsidRPr="005463F4">
        <w:rPr>
          <w:rFonts w:cs="Calibri"/>
        </w:rPr>
        <w:t xml:space="preserve">are recommended for interpretation. </w:t>
      </w:r>
    </w:p>
    <w:p w:rsidR="002A6C4B" w:rsidRPr="005463F4" w:rsidRDefault="002A6C4B" w:rsidP="00627C94">
      <w:pPr>
        <w:pStyle w:val="Heading3"/>
      </w:pPr>
      <w:r w:rsidRPr="005463F4">
        <w:t>COMMENTS</w:t>
      </w:r>
    </w:p>
    <w:p w:rsidR="002A6C4B" w:rsidRPr="005463F4" w:rsidRDefault="002A6C4B" w:rsidP="002A6C4B">
      <w:pPr>
        <w:spacing w:after="120"/>
        <w:rPr>
          <w:rFonts w:cs="Calibri"/>
          <w:b/>
        </w:rPr>
      </w:pPr>
      <w:r w:rsidRPr="005463F4">
        <w:rPr>
          <w:rFonts w:cs="Calibri"/>
        </w:rPr>
        <w:t xml:space="preserve">The CBCL has two sets of forms, for </w:t>
      </w:r>
      <w:r w:rsidR="00627C94">
        <w:rPr>
          <w:rFonts w:cs="Calibri"/>
        </w:rPr>
        <w:t>ages 1.5 to 5 and ages 6 to 18.</w:t>
      </w:r>
    </w:p>
    <w:p w:rsidR="002A6C4B" w:rsidRPr="005463F4" w:rsidRDefault="00627C94" w:rsidP="00627C94">
      <w:pPr>
        <w:pStyle w:val="Heading3"/>
      </w:pPr>
      <w:r>
        <w:t>REFERENCES</w:t>
      </w:r>
    </w:p>
    <w:p w:rsidR="002A6C4B" w:rsidRPr="005463F4" w:rsidRDefault="002A6C4B" w:rsidP="002A6C4B">
      <w:pPr>
        <w:spacing w:after="120"/>
        <w:rPr>
          <w:rFonts w:cs="Calibri"/>
        </w:rPr>
      </w:pPr>
      <w:r w:rsidRPr="005463F4">
        <w:rPr>
          <w:rFonts w:cs="Calibri"/>
        </w:rPr>
        <w:t>Achenbach, T. (1991). Manual for Child Behavior Checklist/ 4-18 and 1991 Profile. University of Vermont, Dept. of Psychiatry: Burlington, VT.</w:t>
      </w:r>
    </w:p>
    <w:p w:rsidR="002A6C4B" w:rsidRPr="005463F4" w:rsidRDefault="002A6C4B" w:rsidP="002A6C4B">
      <w:pPr>
        <w:spacing w:after="120"/>
        <w:rPr>
          <w:rFonts w:cs="Calibri"/>
        </w:rPr>
      </w:pPr>
      <w:r w:rsidRPr="005463F4">
        <w:rPr>
          <w:rFonts w:cs="Calibri"/>
        </w:rPr>
        <w:t>Ewing-Cobbs, L., Barnes, M., Fletcher, J., Levin, H., Swank, P., and Song, J. (2004). Modeling of longitudinal academic achievement scores after pediatric traumatic brain injury. Dev Neuropsychol 25(1-2), 107-133.</w:t>
      </w:r>
    </w:p>
    <w:p w:rsidR="002A6C4B" w:rsidRPr="005463F4" w:rsidRDefault="002A6C4B" w:rsidP="002A6C4B">
      <w:pPr>
        <w:spacing w:after="120"/>
        <w:rPr>
          <w:rFonts w:cs="Calibri"/>
        </w:rPr>
      </w:pPr>
      <w:r w:rsidRPr="005463F4">
        <w:rPr>
          <w:rFonts w:cs="Calibri"/>
        </w:rPr>
        <w:t>Fletcher, J., Ewing-Cobbs, L., Miner, M., Levin, H., and Eisenberg, H. (1990). Behavioral changes after closed head injury in children. J Consult Clin Psychol 58(1), 93-98.</w:t>
      </w:r>
    </w:p>
    <w:p w:rsidR="002A6C4B" w:rsidRPr="005463F4" w:rsidRDefault="002A6C4B" w:rsidP="002A6C4B">
      <w:pPr>
        <w:spacing w:after="120"/>
        <w:rPr>
          <w:rFonts w:cs="Calibri"/>
        </w:rPr>
      </w:pPr>
      <w:r w:rsidRPr="005463F4">
        <w:rPr>
          <w:rFonts w:cs="Calibri"/>
        </w:rPr>
        <w:t xml:space="preserve">Reynolds, CR., Fletcher-Janzen, E. (2007) </w:t>
      </w:r>
      <w:r w:rsidRPr="005463F4">
        <w:rPr>
          <w:rFonts w:cs="Calibri"/>
          <w:i/>
        </w:rPr>
        <w:t>Encyclopedia of Special Education</w:t>
      </w:r>
      <w:r w:rsidRPr="005463F4">
        <w:rPr>
          <w:rFonts w:cs="Calibri"/>
        </w:rPr>
        <w:t xml:space="preserve">. John Wiley &amp; Sons: Inc. Hoboken, New Jersey. </w:t>
      </w:r>
    </w:p>
    <w:p w:rsidR="002A6C4B" w:rsidRPr="002A6C4B" w:rsidRDefault="002A6C4B" w:rsidP="00627C94">
      <w:pPr>
        <w:pStyle w:val="Heading2"/>
      </w:pPr>
      <w:r w:rsidRPr="005463F4">
        <w:br w:type="page"/>
      </w:r>
      <w:r w:rsidRPr="002A6C4B">
        <w:lastRenderedPageBreak/>
        <w:t>Craig Handicap and Assessment Reporting Technique (CHART-SF)</w:t>
      </w:r>
    </w:p>
    <w:p w:rsidR="002A6C4B" w:rsidRPr="002A6C4B" w:rsidRDefault="002A6C4B" w:rsidP="00627C94">
      <w:pPr>
        <w:pStyle w:val="Heading3"/>
      </w:pPr>
      <w:r w:rsidRPr="002A6C4B">
        <w:t>DESCRIPTION</w:t>
      </w:r>
    </w:p>
    <w:p w:rsidR="002A6C4B" w:rsidRPr="00DE235A" w:rsidRDefault="00DE235A" w:rsidP="002A6C4B">
      <w:pPr>
        <w:rPr>
          <w:rFonts w:cs="Calibri"/>
        </w:rPr>
      </w:pPr>
      <w:r w:rsidRPr="00DE235A">
        <w:rPr>
          <w:rFonts w:cs="Calibri"/>
        </w:rPr>
        <w:t xml:space="preserve">The CHART-SF contains 19 items. </w:t>
      </w:r>
      <w:r w:rsidR="002A6C4B" w:rsidRPr="00DE235A">
        <w:rPr>
          <w:rFonts w:cs="Calibri"/>
        </w:rPr>
        <w:t>There are six subscales consisting of: Physical Independence, Cognitive Independence, Mobility, Occupation, Social Integration,</w:t>
      </w:r>
      <w:r w:rsidR="00627C94">
        <w:rPr>
          <w:rFonts w:cs="Calibri"/>
        </w:rPr>
        <w:t xml:space="preserve"> and Economic Self-Sufficiency.</w:t>
      </w:r>
    </w:p>
    <w:p w:rsidR="002A6C4B" w:rsidRPr="002A6C4B" w:rsidRDefault="002A6C4B" w:rsidP="00627C94">
      <w:pPr>
        <w:pStyle w:val="Heading3"/>
      </w:pPr>
      <w:r w:rsidRPr="00DE235A">
        <w:t>PERMISSIBLE</w:t>
      </w:r>
      <w:r w:rsidRPr="002A6C4B">
        <w:t xml:space="preserve"> VALUES</w:t>
      </w:r>
    </w:p>
    <w:p w:rsidR="002A6C4B" w:rsidRPr="002A6C4B" w:rsidRDefault="002A6C4B" w:rsidP="002A6C4B">
      <w:pPr>
        <w:rPr>
          <w:rFonts w:cs="Calibri"/>
        </w:rPr>
      </w:pPr>
      <w:r w:rsidRPr="002A6C4B">
        <w:rPr>
          <w:rFonts w:cs="Calibri"/>
        </w:rPr>
        <w:t>Each subscale has a maximum score of 100 corresponding to the level of performance typical for a person without a disability. Subscale scores can be added to obtain a T</w:t>
      </w:r>
      <w:r w:rsidR="00627C94">
        <w:rPr>
          <w:rFonts w:cs="Calibri"/>
        </w:rPr>
        <w:t>otal Score (maximum score 600).</w:t>
      </w:r>
    </w:p>
    <w:p w:rsidR="002A6C4B" w:rsidRPr="002A6C4B" w:rsidRDefault="002A6C4B" w:rsidP="00627C94">
      <w:pPr>
        <w:pStyle w:val="Heading3"/>
      </w:pPr>
      <w:r w:rsidRPr="002A6C4B">
        <w:t>PROCEDURE</w:t>
      </w:r>
    </w:p>
    <w:p w:rsidR="002A6C4B" w:rsidRPr="002A6C4B" w:rsidRDefault="002A6C4B" w:rsidP="002A6C4B">
      <w:pPr>
        <w:rPr>
          <w:rFonts w:cs="Calibri"/>
          <w:b/>
        </w:rPr>
      </w:pPr>
      <w:r w:rsidRPr="002A6C4B">
        <w:rPr>
          <w:rFonts w:cs="Calibri"/>
        </w:rPr>
        <w:t>Information to complete the measure may be obtained from the individual of interest or knowledgeable proxy via paper and pencil or interview. Admi</w:t>
      </w:r>
      <w:r w:rsidR="00627C94">
        <w:rPr>
          <w:rFonts w:cs="Calibri"/>
        </w:rPr>
        <w:t>nistration time is 7-8 minutes.</w:t>
      </w:r>
    </w:p>
    <w:p w:rsidR="002A6C4B" w:rsidRPr="002A6C4B" w:rsidRDefault="002A6C4B" w:rsidP="00627C94">
      <w:pPr>
        <w:pStyle w:val="Heading3"/>
      </w:pPr>
      <w:r w:rsidRPr="002A6C4B">
        <w:t>COMMENTS</w:t>
      </w:r>
    </w:p>
    <w:p w:rsidR="002A6C4B" w:rsidRPr="002A6C4B" w:rsidRDefault="002A6C4B" w:rsidP="002A6C4B">
      <w:pPr>
        <w:rPr>
          <w:rFonts w:cs="Calibri"/>
        </w:rPr>
      </w:pPr>
      <w:r w:rsidRPr="002A6C4B">
        <w:rPr>
          <w:rFonts w:cs="Calibri"/>
        </w:rPr>
        <w:t>This measure may be used with adult individuals with GOS/GOSE scores of severe disability, moderate disab</w:t>
      </w:r>
      <w:r w:rsidR="00627C94">
        <w:rPr>
          <w:rFonts w:cs="Calibri"/>
        </w:rPr>
        <w:t>ility, or good recovery.</w:t>
      </w:r>
    </w:p>
    <w:p w:rsidR="002A6C4B" w:rsidRPr="002A6C4B" w:rsidRDefault="002A6C4B" w:rsidP="00627C94">
      <w:pPr>
        <w:pStyle w:val="Heading3"/>
      </w:pPr>
      <w:r w:rsidRPr="002A6C4B">
        <w:t>RATIONALE</w:t>
      </w:r>
    </w:p>
    <w:p w:rsidR="002A6C4B" w:rsidRPr="002A6C4B" w:rsidRDefault="002A6C4B" w:rsidP="002A6C4B">
      <w:pPr>
        <w:rPr>
          <w:rFonts w:cs="Calibri"/>
        </w:rPr>
      </w:pPr>
      <w:r w:rsidRPr="002A6C4B">
        <w:rPr>
          <w:rFonts w:cs="Calibri"/>
        </w:rPr>
        <w:t xml:space="preserve">CHART-SF is easy to administer and has demonstrated good reliability and </w:t>
      </w:r>
      <w:r w:rsidR="00627C94">
        <w:rPr>
          <w:rFonts w:cs="Calibri"/>
        </w:rPr>
        <w:t>validity in the TBI population.</w:t>
      </w:r>
    </w:p>
    <w:p w:rsidR="002A6C4B" w:rsidRPr="002A6C4B" w:rsidRDefault="002A6C4B" w:rsidP="00627C94">
      <w:pPr>
        <w:pStyle w:val="Heading3"/>
      </w:pPr>
      <w:r w:rsidRPr="002A6C4B">
        <w:t xml:space="preserve">REFERENCES </w:t>
      </w:r>
    </w:p>
    <w:p w:rsidR="002A6C4B" w:rsidRPr="002A6C4B" w:rsidRDefault="002A6C4B" w:rsidP="002A6C4B">
      <w:pPr>
        <w:rPr>
          <w:rFonts w:cs="Calibri"/>
        </w:rPr>
      </w:pPr>
      <w:r w:rsidRPr="002A6C4B">
        <w:rPr>
          <w:rFonts w:cs="Calibri"/>
        </w:rPr>
        <w:t>Whiteneck G, Charlifue S, Gerhart K, Overholser J, Richardson G. Quantifying handicap: a new measure of long-term rehabilitation outcomes. Arch Phys Med Rehabil 1992</w:t>
      </w:r>
      <w:r w:rsidR="00AF27C5" w:rsidRPr="002A6C4B">
        <w:rPr>
          <w:rFonts w:cs="Calibri"/>
        </w:rPr>
        <w:t>; 73:519</w:t>
      </w:r>
      <w:r w:rsidRPr="002A6C4B">
        <w:rPr>
          <w:rFonts w:cs="Calibri"/>
        </w:rPr>
        <w:t>-526.</w:t>
      </w:r>
    </w:p>
    <w:p w:rsidR="002A6C4B" w:rsidRPr="002A6C4B" w:rsidRDefault="002A6C4B" w:rsidP="00627C94">
      <w:pPr>
        <w:pStyle w:val="Heading2"/>
      </w:pPr>
      <w:r>
        <w:br w:type="page"/>
      </w:r>
      <w:r w:rsidRPr="002A6C4B">
        <w:lastRenderedPageBreak/>
        <w:t>Participation Assessment with Recombined Tools (PART-O)</w:t>
      </w:r>
    </w:p>
    <w:p w:rsidR="002A6C4B" w:rsidRPr="002A6C4B" w:rsidRDefault="002A6C4B" w:rsidP="00627C94">
      <w:pPr>
        <w:pStyle w:val="Heading3"/>
      </w:pPr>
      <w:r w:rsidRPr="002A6C4B">
        <w:t>DESCRIPTION</w:t>
      </w:r>
    </w:p>
    <w:p w:rsidR="002A6C4B" w:rsidRPr="002A6C4B" w:rsidRDefault="002A6C4B" w:rsidP="002A6C4B">
      <w:pPr>
        <w:rPr>
          <w:rFonts w:cs="Calibri"/>
        </w:rPr>
      </w:pPr>
      <w:r w:rsidRPr="002A6C4B">
        <w:rPr>
          <w:rFonts w:cs="Calibri"/>
        </w:rPr>
        <w:t>The PART-O consists of 24 items asking for the frequency that the person engages in various activities within the community. Scores have been standardized based on a population sample. Several scoring options have been examined, providing a total score and 3 subscale scores. A briefer 12-item versio</w:t>
      </w:r>
      <w:r w:rsidR="00627C94">
        <w:rPr>
          <w:rFonts w:cs="Calibri"/>
        </w:rPr>
        <w:t>n is currently being evaluated.</w:t>
      </w:r>
    </w:p>
    <w:p w:rsidR="002A6C4B" w:rsidRPr="002A6C4B" w:rsidRDefault="002A6C4B" w:rsidP="00627C94">
      <w:pPr>
        <w:pStyle w:val="Heading3"/>
      </w:pPr>
      <w:r w:rsidRPr="002A6C4B">
        <w:t>PERMISSIBLE VALUES</w:t>
      </w:r>
    </w:p>
    <w:p w:rsidR="002A6C4B" w:rsidRPr="002A6C4B" w:rsidRDefault="002A6C4B" w:rsidP="002A6C4B">
      <w:pPr>
        <w:rPr>
          <w:rFonts w:cs="Calibri"/>
        </w:rPr>
      </w:pPr>
      <w:r w:rsidRPr="002A6C4B">
        <w:rPr>
          <w:rFonts w:cs="Calibri"/>
        </w:rPr>
        <w:t>Standardized z-scores generally range from -4 to +4, with 0 as the mean.</w:t>
      </w:r>
      <w:r w:rsidRPr="002A6C4B">
        <w:rPr>
          <w:rFonts w:cs="Calibri"/>
        </w:rPr>
        <w:tab/>
      </w:r>
    </w:p>
    <w:p w:rsidR="002A6C4B" w:rsidRPr="002A6C4B" w:rsidRDefault="002A6C4B" w:rsidP="00627C94">
      <w:pPr>
        <w:pStyle w:val="Heading3"/>
      </w:pPr>
      <w:r w:rsidRPr="002A6C4B">
        <w:t>PROCEDURE</w:t>
      </w:r>
    </w:p>
    <w:p w:rsidR="002A6C4B" w:rsidRPr="002A6C4B" w:rsidRDefault="002A6C4B" w:rsidP="002A6C4B">
      <w:pPr>
        <w:rPr>
          <w:rFonts w:cs="Calibri"/>
        </w:rPr>
      </w:pPr>
      <w:r w:rsidRPr="002A6C4B">
        <w:rPr>
          <w:rFonts w:cs="Calibri"/>
        </w:rPr>
        <w:t>Interview or paper/pencil with participant or proxy. Manual available. Administration time is 10-15 minutes.</w:t>
      </w:r>
    </w:p>
    <w:p w:rsidR="002A6C4B" w:rsidRPr="002A6C4B" w:rsidRDefault="002A6C4B" w:rsidP="00627C94">
      <w:pPr>
        <w:pStyle w:val="Heading3"/>
      </w:pPr>
      <w:r w:rsidRPr="002A6C4B">
        <w:t>COMMENTS</w:t>
      </w:r>
    </w:p>
    <w:p w:rsidR="002A6C4B" w:rsidRPr="002A6C4B" w:rsidRDefault="002A6C4B" w:rsidP="002A6C4B">
      <w:pPr>
        <w:rPr>
          <w:rFonts w:cs="Calibri"/>
        </w:rPr>
      </w:pPr>
      <w:r w:rsidRPr="002A6C4B">
        <w:rPr>
          <w:rFonts w:cs="Calibri"/>
        </w:rPr>
        <w:t>The PART has been used with adolescents and adults with TBI as well a</w:t>
      </w:r>
      <w:r w:rsidR="00627C94">
        <w:rPr>
          <w:rFonts w:cs="Calibri"/>
        </w:rPr>
        <w:t>s other sources of disability.</w:t>
      </w:r>
    </w:p>
    <w:p w:rsidR="002A6C4B" w:rsidRPr="002A6C4B" w:rsidRDefault="002A6C4B" w:rsidP="00627C94">
      <w:pPr>
        <w:pStyle w:val="Heading3"/>
      </w:pPr>
      <w:r w:rsidRPr="002A6C4B">
        <w:t>RATIONALE</w:t>
      </w:r>
    </w:p>
    <w:p w:rsidR="002A6C4B" w:rsidRPr="002A6C4B" w:rsidRDefault="002A6C4B" w:rsidP="002A6C4B">
      <w:pPr>
        <w:rPr>
          <w:rFonts w:cs="Calibri"/>
        </w:rPr>
      </w:pPr>
      <w:r w:rsidRPr="002A6C4B">
        <w:rPr>
          <w:rFonts w:cs="Calibri"/>
        </w:rPr>
        <w:t>Developed by the TBI Model Systems, the PART combines the primary measures found in the literature on participation of persons with TBI, including: Community Integration Questionnaire, original and revised (Willer, et al., AJPMR,1994, 73(2):103; Johnson, et al.,, Archives PMR, 2005,86: 725); Participation Objective, Participat</w:t>
      </w:r>
      <w:r w:rsidR="00AF27C5">
        <w:rPr>
          <w:rFonts w:cs="Calibri"/>
        </w:rPr>
        <w:t xml:space="preserve">ion Subjective (Brown, et al., </w:t>
      </w:r>
      <w:r w:rsidRPr="002A6C4B">
        <w:rPr>
          <w:rFonts w:cs="Calibri"/>
        </w:rPr>
        <w:t>JHTR,1994,19(6): 459); Craig Handicap and Assessment Reporting Technique (Whiteneck, et al., Archives PMR,1992</w:t>
      </w:r>
      <w:r w:rsidR="00AF27C5">
        <w:rPr>
          <w:rFonts w:cs="Calibri"/>
        </w:rPr>
        <w:t xml:space="preserve">,73:519). </w:t>
      </w:r>
      <w:r w:rsidRPr="002A6C4B">
        <w:rPr>
          <w:rFonts w:cs="Calibri"/>
        </w:rPr>
        <w:t>Publication of psychometric charact</w:t>
      </w:r>
      <w:r w:rsidR="002848FE">
        <w:rPr>
          <w:rFonts w:cs="Calibri"/>
        </w:rPr>
        <w:t>eristics expected in 2009/2010.</w:t>
      </w:r>
    </w:p>
    <w:p w:rsidR="002A6C4B" w:rsidRPr="002A6C4B" w:rsidRDefault="002A6C4B" w:rsidP="00627C94">
      <w:pPr>
        <w:pStyle w:val="Heading3"/>
      </w:pPr>
      <w:r w:rsidRPr="002A6C4B">
        <w:t xml:space="preserve">REFERENCES </w:t>
      </w:r>
    </w:p>
    <w:p w:rsidR="002A6C4B" w:rsidRPr="002A6C4B" w:rsidRDefault="002A6C4B" w:rsidP="002A6C4B">
      <w:pPr>
        <w:rPr>
          <w:rFonts w:cs="Calibri"/>
        </w:rPr>
      </w:pPr>
      <w:r w:rsidRPr="002A6C4B">
        <w:rPr>
          <w:rFonts w:cs="Calibri"/>
        </w:rPr>
        <w:t xml:space="preserve">Traumatic Brain Injury Model Systems National Data and Statistical Center, Part-O Manual, October, 2007. </w:t>
      </w:r>
      <w:hyperlink r:id="rId7" w:history="1">
        <w:r w:rsidR="002848FE">
          <w:rPr>
            <w:rStyle w:val="Hyperlink"/>
            <w:rFonts w:cs="Calibri"/>
          </w:rPr>
          <w:t xml:space="preserve">National Data and Statistical Center Traumatic Brain Injury Model Systems Link </w:t>
        </w:r>
      </w:hyperlink>
    </w:p>
    <w:p w:rsidR="004E289F" w:rsidRPr="00DE235A" w:rsidRDefault="002A6C4B" w:rsidP="00627C94">
      <w:pPr>
        <w:pStyle w:val="Heading2"/>
      </w:pPr>
      <w:r w:rsidRPr="002A6C4B">
        <w:br w:type="page"/>
      </w:r>
      <w:r w:rsidR="004E289F" w:rsidRPr="00DE235A">
        <w:lastRenderedPageBreak/>
        <w:t xml:space="preserve">Pediatric Evaluation of Disability Inventory (PEDI): Social Functioning Scale </w:t>
      </w:r>
    </w:p>
    <w:p w:rsidR="00DE235A" w:rsidRPr="006D6F51" w:rsidRDefault="00DE235A" w:rsidP="00627C94">
      <w:pPr>
        <w:pStyle w:val="Heading3"/>
      </w:pPr>
      <w:r w:rsidRPr="006D6F51">
        <w:t>DESCRIPTION</w:t>
      </w:r>
    </w:p>
    <w:p w:rsidR="00DE235A" w:rsidRDefault="00DE235A" w:rsidP="00DE235A">
      <w:pPr>
        <w:rPr>
          <w:rFonts w:cs="Calibri"/>
        </w:rPr>
      </w:pPr>
      <w:r w:rsidRPr="006D6F51">
        <w:rPr>
          <w:rFonts w:cs="Calibri"/>
        </w:rPr>
        <w:t xml:space="preserve">The PEDI is a descriptive measure of a child’s current functional capabilities performance and also tracks changes over time. The measure has three content areas: Self-care, Mobility and Social Function. </w:t>
      </w:r>
      <w:r w:rsidRPr="002A6C4B">
        <w:rPr>
          <w:rFonts w:cs="Calibri"/>
        </w:rPr>
        <w:t xml:space="preserve">The social functioning section includes 65 items pertaining to several domains including communication, problem-resolution, play with peers and objects and self-protection. </w:t>
      </w:r>
    </w:p>
    <w:p w:rsidR="00DE235A" w:rsidRPr="006D6F51" w:rsidRDefault="00DE235A" w:rsidP="00627C94">
      <w:pPr>
        <w:pStyle w:val="Heading3"/>
      </w:pPr>
      <w:r w:rsidRPr="006D6F51">
        <w:t xml:space="preserve">PERMISSIBLE VALUES </w:t>
      </w:r>
    </w:p>
    <w:p w:rsidR="00DE235A" w:rsidRPr="006D6F51" w:rsidRDefault="00DE235A" w:rsidP="00DE235A">
      <w:pPr>
        <w:spacing w:after="120"/>
        <w:rPr>
          <w:rFonts w:cs="Calibri"/>
        </w:rPr>
      </w:pPr>
      <w:r w:rsidRPr="006D6F51">
        <w:rPr>
          <w:rFonts w:cs="Calibri"/>
        </w:rPr>
        <w:t>Scores for the PEDI range between 0-100, with higher scores indicating a lesser degree of disability.</w:t>
      </w:r>
    </w:p>
    <w:p w:rsidR="00DE235A" w:rsidRPr="006D6F51" w:rsidRDefault="00DE235A" w:rsidP="00627C94">
      <w:pPr>
        <w:pStyle w:val="Heading3"/>
      </w:pPr>
      <w:r w:rsidRPr="006D6F51">
        <w:t xml:space="preserve">PROCEDURES </w:t>
      </w:r>
    </w:p>
    <w:p w:rsidR="00DE235A" w:rsidRPr="006D6F51" w:rsidRDefault="00DE235A" w:rsidP="00DE235A">
      <w:pPr>
        <w:spacing w:after="120"/>
        <w:rPr>
          <w:rFonts w:cs="Calibri"/>
        </w:rPr>
      </w:pPr>
      <w:r w:rsidRPr="006D6F51">
        <w:rPr>
          <w:rFonts w:cs="Calibri"/>
        </w:rPr>
        <w:t xml:space="preserve">The PEDI takes between 45 and 60 minutes to administer. </w:t>
      </w:r>
      <w:r w:rsidRPr="005463F4">
        <w:rPr>
          <w:rFonts w:cs="Calibri"/>
        </w:rPr>
        <w:t xml:space="preserve">Skills commensurate with at least </w:t>
      </w:r>
      <w:r>
        <w:rPr>
          <w:rFonts w:cs="Calibri"/>
        </w:rPr>
        <w:t>a</w:t>
      </w:r>
      <w:r w:rsidRPr="005463F4">
        <w:rPr>
          <w:rFonts w:cs="Calibri"/>
        </w:rPr>
        <w:t xml:space="preserve"> Master’s degree level in psychology, </w:t>
      </w:r>
      <w:r>
        <w:rPr>
          <w:rFonts w:cs="Calibri"/>
        </w:rPr>
        <w:t xml:space="preserve">education, or related field </w:t>
      </w:r>
      <w:r w:rsidRPr="005463F4">
        <w:rPr>
          <w:rFonts w:cs="Calibri"/>
        </w:rPr>
        <w:t>are recommended for interpretation.</w:t>
      </w:r>
      <w:r>
        <w:rPr>
          <w:rFonts w:cs="Calibri"/>
        </w:rPr>
        <w:t xml:space="preserve"> </w:t>
      </w:r>
      <w:r w:rsidRPr="006D6F51">
        <w:rPr>
          <w:rFonts w:cs="Calibri"/>
        </w:rPr>
        <w:t xml:space="preserve">The PEDI is a paper based instrument. The computerized PEDI-MCAT provides individual patient reports that summarize a patient’s functional status and provide a comparison of scores to the norm. </w:t>
      </w:r>
    </w:p>
    <w:p w:rsidR="00DE235A" w:rsidRPr="006D6F51" w:rsidRDefault="00DE235A" w:rsidP="00627C94">
      <w:pPr>
        <w:pStyle w:val="Heading3"/>
      </w:pPr>
      <w:r w:rsidRPr="006D6F51">
        <w:t>COMMENTS</w:t>
      </w:r>
    </w:p>
    <w:p w:rsidR="00DE235A" w:rsidRPr="006D6F51" w:rsidRDefault="00DE235A" w:rsidP="00DE235A">
      <w:pPr>
        <w:spacing w:after="120"/>
        <w:rPr>
          <w:rFonts w:cs="Calibri"/>
          <w:b/>
        </w:rPr>
      </w:pPr>
      <w:r w:rsidRPr="006D6F51">
        <w:rPr>
          <w:rFonts w:cs="Calibri"/>
        </w:rPr>
        <w:t>The PEDI™ is recommended for children in acute and rehabilitation settings and for post-discharge follow-up. The measure is appropriat</w:t>
      </w:r>
      <w:r w:rsidR="00627C94">
        <w:rPr>
          <w:rFonts w:cs="Calibri"/>
        </w:rPr>
        <w:t>e for ages 6 months to 7 years.</w:t>
      </w:r>
    </w:p>
    <w:p w:rsidR="00DE235A" w:rsidRPr="006D6F51" w:rsidRDefault="00DE235A" w:rsidP="00627C94">
      <w:pPr>
        <w:pStyle w:val="Heading3"/>
      </w:pPr>
      <w:r w:rsidRPr="006D6F51">
        <w:t>RATIONALE</w:t>
      </w:r>
    </w:p>
    <w:p w:rsidR="00DE235A" w:rsidRPr="006D6F51" w:rsidRDefault="00DE235A" w:rsidP="00DE235A">
      <w:pPr>
        <w:spacing w:after="120"/>
        <w:rPr>
          <w:rFonts w:cs="Calibri"/>
        </w:rPr>
      </w:pPr>
      <w:r w:rsidRPr="006D6F51">
        <w:rPr>
          <w:rFonts w:cs="Calibri"/>
        </w:rPr>
        <w:t>The PEDI “has been used in many studies with children with TBI and other acquired brain injuries, and has established evidence of reliability, validity and responsiveness to change during inpatient rehabilitation</w:t>
      </w:r>
      <w:r w:rsidR="00AF27C5">
        <w:rPr>
          <w:rFonts w:cs="Calibri"/>
        </w:rPr>
        <w:t xml:space="preserve"> and post-discharge follow-up.”</w:t>
      </w:r>
      <w:r w:rsidRPr="005463F4">
        <w:rPr>
          <w:rFonts w:cs="Calibri"/>
        </w:rPr>
        <w:t>- McCauley et al. 2012</w:t>
      </w:r>
    </w:p>
    <w:p w:rsidR="00DE235A" w:rsidRPr="006D6F51" w:rsidRDefault="00627C94" w:rsidP="00627C94">
      <w:pPr>
        <w:pStyle w:val="Heading3"/>
      </w:pPr>
      <w:r>
        <w:t>REFERENCES</w:t>
      </w:r>
    </w:p>
    <w:p w:rsidR="00DE235A" w:rsidRPr="006D6F51" w:rsidRDefault="00DE235A" w:rsidP="00DE235A">
      <w:pPr>
        <w:spacing w:after="120"/>
        <w:rPr>
          <w:rFonts w:cs="Calibri"/>
        </w:rPr>
      </w:pPr>
      <w:r w:rsidRPr="006D6F51">
        <w:rPr>
          <w:rFonts w:cs="Calibri"/>
        </w:rPr>
        <w:t>Haley, S., Coster, W., Ludlow, L. H., JT, and Andrellos, P. (1992). Pediatric evaluation of disability inventory: development, standardization, and administration manual, version 1.0. Trustees of Boston University, Health and Disability Research Institute: Boston, MA.</w:t>
      </w:r>
    </w:p>
    <w:p w:rsidR="00DE235A" w:rsidRPr="006D6F51" w:rsidRDefault="00DE235A" w:rsidP="00DE235A">
      <w:pPr>
        <w:spacing w:after="120"/>
        <w:rPr>
          <w:rFonts w:cs="Calibri"/>
        </w:rPr>
      </w:pPr>
      <w:r w:rsidRPr="006D6F51">
        <w:rPr>
          <w:rFonts w:cs="Calibri"/>
        </w:rPr>
        <w:t>Bedell, G. (2008). Functional outcomes of school-age children with acquired brain injuries at discharge from inpatient rehabilitation. Brain Inj 22, 313-324.</w:t>
      </w:r>
    </w:p>
    <w:p w:rsidR="00DE235A" w:rsidRPr="006D6F51" w:rsidRDefault="00DE235A" w:rsidP="00DE235A">
      <w:pPr>
        <w:spacing w:after="120"/>
        <w:rPr>
          <w:rFonts w:cs="Calibri"/>
        </w:rPr>
      </w:pPr>
      <w:r w:rsidRPr="006D6F51">
        <w:rPr>
          <w:rFonts w:cs="Calibri"/>
        </w:rPr>
        <w:t>Coster, W., Haley, S., and Baryza, M. (1994). Functional performance of young children after traumatic brain injury: a 6-month follow-up study. Am J Occup Ther 48, 211-218.</w:t>
      </w:r>
    </w:p>
    <w:p w:rsidR="00DE235A" w:rsidRPr="006D6F51" w:rsidRDefault="00DE235A" w:rsidP="00DE235A">
      <w:pPr>
        <w:spacing w:after="120"/>
        <w:rPr>
          <w:rFonts w:cs="Calibri"/>
        </w:rPr>
      </w:pPr>
      <w:r w:rsidRPr="006D6F51">
        <w:rPr>
          <w:rFonts w:cs="Calibri"/>
        </w:rPr>
        <w:t>Dumas, H., Haley, S., Bedell, G., and Hull, E. (2001). Social function changes in children and adolescents with acquired brain injury during inpatient rehabilitation. Pediatr Rehabil 4, 177-185.</w:t>
      </w:r>
    </w:p>
    <w:p w:rsidR="00DE235A" w:rsidRPr="006D6F51" w:rsidRDefault="00DE235A" w:rsidP="00DE235A">
      <w:pPr>
        <w:spacing w:after="120"/>
        <w:rPr>
          <w:rFonts w:cs="Calibri"/>
        </w:rPr>
      </w:pPr>
      <w:r w:rsidRPr="006D6F51">
        <w:rPr>
          <w:rFonts w:cs="Calibri"/>
        </w:rPr>
        <w:t>Dumas, H., Haley, S., Fragala, M., and Steva, B. (2001). Self-care recovery of children with brain injury: descriptive analysis using the Pediatric Evaluation of Disability Inventory (PEDI) functional classification levels. Phys Occup Ther Pediatr 21, 7-27.</w:t>
      </w:r>
    </w:p>
    <w:p w:rsidR="00DE235A" w:rsidRPr="006D6F51" w:rsidRDefault="00DE235A" w:rsidP="00DE235A">
      <w:pPr>
        <w:spacing w:after="120"/>
        <w:rPr>
          <w:rFonts w:cs="Calibri"/>
        </w:rPr>
      </w:pPr>
      <w:r w:rsidRPr="006D6F51">
        <w:rPr>
          <w:rFonts w:cs="Calibri"/>
        </w:rPr>
        <w:lastRenderedPageBreak/>
        <w:t>Dumas, H., Haley, S., Ludlow, L., and Carey, T. (2004). Recovery of ambulation during inpatient rehabilitation: physical therapist prognosis for children and adolescents with traumatic brain injury. Phys Ther 84(3), 232-242.</w:t>
      </w:r>
    </w:p>
    <w:p w:rsidR="00DE235A" w:rsidRPr="006D6F51" w:rsidRDefault="00DE235A" w:rsidP="00DE235A">
      <w:pPr>
        <w:spacing w:after="120"/>
        <w:rPr>
          <w:rFonts w:cs="Calibri"/>
        </w:rPr>
      </w:pPr>
      <w:r w:rsidRPr="006D6F51">
        <w:rPr>
          <w:rFonts w:cs="Calibri"/>
        </w:rPr>
        <w:t>Fragala, M., Haley, S., Dumas, H., and Rabin, J. (2002). Classifying mobility recovery in children and youth with brain injury during hospital-based rehabilitation. Brain Inj 16(2), 149-160.</w:t>
      </w:r>
    </w:p>
    <w:p w:rsidR="00DE235A" w:rsidRPr="006D6F51" w:rsidRDefault="00DE235A" w:rsidP="00DE235A">
      <w:pPr>
        <w:spacing w:after="120"/>
        <w:rPr>
          <w:rFonts w:cs="Calibri"/>
        </w:rPr>
      </w:pPr>
      <w:r w:rsidRPr="006D6F51">
        <w:rPr>
          <w:rFonts w:cs="Calibri"/>
        </w:rPr>
        <w:t>Haley, S., Coster, W., Ludlow, L. H., JT, and Andrellos, P. (1992). Pediatric evaluation of disability inventory: development, standardization, and administration manual, version 1.0. Trustees of Boston University, Health and Disability Research Institute: Boston, MA.</w:t>
      </w:r>
    </w:p>
    <w:p w:rsidR="00DE235A" w:rsidRPr="006D6F51" w:rsidRDefault="00DE235A" w:rsidP="00DE235A">
      <w:pPr>
        <w:spacing w:after="120"/>
        <w:rPr>
          <w:rFonts w:cs="Calibri"/>
        </w:rPr>
      </w:pPr>
      <w:r w:rsidRPr="006D6F51">
        <w:rPr>
          <w:rFonts w:cs="Calibri"/>
        </w:rPr>
        <w:t>Haley, S., Dumas, H., Rabin, J., and Ni, P. (2003). Early recovery of walking in children and youths after traumatic brain injury. Devel Med Child Neurolog 45(10), 671-675.</w:t>
      </w:r>
    </w:p>
    <w:p w:rsidR="00DE235A" w:rsidRPr="006D6F51" w:rsidRDefault="00DE235A" w:rsidP="00DE235A">
      <w:pPr>
        <w:spacing w:after="120"/>
        <w:rPr>
          <w:rFonts w:cs="Calibri"/>
        </w:rPr>
      </w:pPr>
      <w:r w:rsidRPr="006D6F51">
        <w:rPr>
          <w:rFonts w:cs="Calibri"/>
        </w:rPr>
        <w:t>Khoteri, A., Haley, S., Gill-Body, K., and Dumas, H. (2003). Measuring functional change in children with acquired brain injury (ABI): comparison of generic and ABI-specific scales using the pediatric evaluation of disability inventory (PEDI). Phys Ther 83, 776-785.</w:t>
      </w:r>
    </w:p>
    <w:p w:rsidR="00DE235A" w:rsidRPr="006D6F51" w:rsidRDefault="00DE235A" w:rsidP="00DE235A">
      <w:pPr>
        <w:spacing w:after="120"/>
        <w:rPr>
          <w:rFonts w:cs="Calibri"/>
        </w:rPr>
      </w:pPr>
      <w:r w:rsidRPr="006D6F51">
        <w:rPr>
          <w:rFonts w:cs="Calibri"/>
        </w:rPr>
        <w:t>Nichols, D., and Case-Smith, J. (1996). Reliability and validity of the Pediatric Evaluation of Disability Inventory. Pediatr Phys Ther 8, 15-24.</w:t>
      </w:r>
    </w:p>
    <w:p w:rsidR="00DE235A" w:rsidRPr="006D6F51" w:rsidRDefault="00DE235A" w:rsidP="00DE235A">
      <w:pPr>
        <w:spacing w:after="120"/>
        <w:rPr>
          <w:rFonts w:cs="Calibri"/>
        </w:rPr>
      </w:pPr>
      <w:r w:rsidRPr="006D6F51">
        <w:rPr>
          <w:rFonts w:cs="Calibri"/>
        </w:rPr>
        <w:t>Tokcan, G., Haley, S., Gill-Body, K., and Dumas, H. (2003). Item-specific recovery for children and youth with acquired brain injury. Pediatr Phys Ther 15, 16-22.</w:t>
      </w:r>
    </w:p>
    <w:p w:rsidR="00DE235A" w:rsidRPr="006D6F51" w:rsidRDefault="00DE235A" w:rsidP="00DE235A">
      <w:pPr>
        <w:spacing w:after="120"/>
        <w:rPr>
          <w:rFonts w:cs="Calibri"/>
        </w:rPr>
      </w:pPr>
      <w:r w:rsidRPr="006D6F51">
        <w:rPr>
          <w:rFonts w:cs="Calibri"/>
        </w:rPr>
        <w:t>Ziviani, J., Ottenbacher, K., Shephard, K., Foreman, S., Astbury, W., and Ireland, P. (2001). Concurrent validity of the Functional Independence Measure for Children (WeeFIM) and the Pediatric Evaluation of Disabilities Inventory in children with developmental disabilities and acquired brain injuries. Phys Occup Ther Pediatr 21(2-3), 91-101.</w:t>
      </w:r>
    </w:p>
    <w:p w:rsidR="00DE235A" w:rsidRPr="006D6F51" w:rsidRDefault="00DE235A" w:rsidP="00DE235A">
      <w:pPr>
        <w:spacing w:after="120"/>
        <w:rPr>
          <w:rFonts w:cs="Calibri"/>
        </w:rPr>
      </w:pPr>
      <w:r w:rsidRPr="006D6F51">
        <w:rPr>
          <w:rFonts w:cs="Calibri"/>
        </w:rPr>
        <w:t>Wilde, E., Whiteneck, C., Bogner, J., Bushnik, T., Cifu, D., Dikmen, S., French, L., Giacino, J., Hart, T., Malec, J., Millis, S., Novack, T., Sherer, M., Tulsky, D., Vanderploeg, R., and von Steinbuechel, N. (2010). Recommendations for the use of common outcome measures in traumatic brain injury research. Arch Phys Med Rehabil 01(11), 1650-1660.</w:t>
      </w:r>
    </w:p>
    <w:p w:rsidR="00802179" w:rsidRDefault="00DE235A" w:rsidP="00627C94">
      <w:pPr>
        <w:pStyle w:val="Heading2"/>
      </w:pPr>
      <w:r w:rsidRPr="00DE235A">
        <w:br w:type="page"/>
      </w:r>
      <w:r w:rsidRPr="002A6C4B">
        <w:lastRenderedPageBreak/>
        <w:t>Pediatric Quality of Life Inventory: Social subscale</w:t>
      </w:r>
      <w:r w:rsidRPr="00DE235A">
        <w:t xml:space="preserve"> </w:t>
      </w:r>
    </w:p>
    <w:p w:rsidR="00802179" w:rsidRPr="006D07FA" w:rsidRDefault="00802179" w:rsidP="00627C94">
      <w:pPr>
        <w:pStyle w:val="Heading3"/>
      </w:pPr>
      <w:r w:rsidRPr="006D07FA">
        <w:t>DESCRIPTION</w:t>
      </w:r>
    </w:p>
    <w:p w:rsidR="00802179" w:rsidRPr="006D07FA" w:rsidRDefault="00802179" w:rsidP="00802179">
      <w:pPr>
        <w:spacing w:after="120"/>
        <w:rPr>
          <w:rFonts w:cs="Calibri"/>
        </w:rPr>
      </w:pPr>
      <w:r w:rsidRPr="006D07FA">
        <w:rPr>
          <w:rFonts w:cs="Calibri"/>
        </w:rPr>
        <w:t>The PedsQL is a 23-item measure that can be used to assess health-related quality of life in children. The measure includes items in the domains of physical, emotional, social and school functioning. Age-appropriate child forms are available between the ages of 5 and 18, and parent proxy forms can be used down to age 2. Respondents indicate how much each item has been a problem in the past month; responses for 8-18 year old children and for parents are rated on a 5-point Likert scale, while younger children rate their responses on a 3-point scale. A total score and two summary scores for physical health and psychosocial health can be calculated.</w:t>
      </w:r>
    </w:p>
    <w:p w:rsidR="00802179" w:rsidRPr="006D07FA" w:rsidRDefault="00802179" w:rsidP="00627C94">
      <w:pPr>
        <w:pStyle w:val="Heading3"/>
      </w:pPr>
      <w:r w:rsidRPr="006D07FA">
        <w:t xml:space="preserve">PERMISSIBLE VALUES </w:t>
      </w:r>
    </w:p>
    <w:p w:rsidR="00802179" w:rsidRPr="006D07FA" w:rsidRDefault="00802179" w:rsidP="00802179">
      <w:pPr>
        <w:spacing w:after="120"/>
        <w:rPr>
          <w:rFonts w:cs="Calibri"/>
        </w:rPr>
      </w:pPr>
      <w:r w:rsidRPr="006D07FA">
        <w:rPr>
          <w:rFonts w:cs="Calibri"/>
        </w:rPr>
        <w:t>The total score is on a scale from 1-100, with higher scores indicating a higher health-related quality of life. Summary scores and scores for each subscale are computed by averaging the component item responses, and range between 0-4.</w:t>
      </w:r>
    </w:p>
    <w:p w:rsidR="00802179" w:rsidRPr="006D07FA" w:rsidRDefault="00802179" w:rsidP="00627C94">
      <w:pPr>
        <w:pStyle w:val="Heading3"/>
      </w:pPr>
      <w:r w:rsidRPr="006D07FA">
        <w:t>PROCEDURES</w:t>
      </w:r>
    </w:p>
    <w:p w:rsidR="00802179" w:rsidRPr="006D07FA" w:rsidRDefault="00802179" w:rsidP="00802179">
      <w:pPr>
        <w:rPr>
          <w:rFonts w:cs="Calibri"/>
        </w:rPr>
      </w:pPr>
      <w:r w:rsidRPr="006D07FA">
        <w:rPr>
          <w:rFonts w:cs="Calibri"/>
        </w:rPr>
        <w:t>The test can be completed in under 5 minutes. Parents and children 8 years or older may self-administer the PedsQL or the administrator can read the instructions to the child.</w:t>
      </w:r>
    </w:p>
    <w:p w:rsidR="00802179" w:rsidRPr="006D07FA" w:rsidRDefault="00802179" w:rsidP="00627C94">
      <w:pPr>
        <w:pStyle w:val="Heading3"/>
      </w:pPr>
      <w:r w:rsidRPr="006D07FA">
        <w:t>COMMENTS</w:t>
      </w:r>
    </w:p>
    <w:p w:rsidR="00802179" w:rsidRPr="006D07FA" w:rsidRDefault="00802179" w:rsidP="00802179">
      <w:pPr>
        <w:rPr>
          <w:rFonts w:cs="Calibri"/>
        </w:rPr>
      </w:pPr>
      <w:r w:rsidRPr="006D07FA">
        <w:rPr>
          <w:rFonts w:cs="Calibri"/>
        </w:rPr>
        <w:t>The PedsQL is appropriate for children and adolescents ages 2-18 years.</w:t>
      </w:r>
    </w:p>
    <w:p w:rsidR="00802179" w:rsidRPr="006D07FA" w:rsidRDefault="00802179" w:rsidP="00627C94">
      <w:pPr>
        <w:pStyle w:val="Heading3"/>
      </w:pPr>
      <w:r w:rsidRPr="006D07FA">
        <w:t>RATIONALE</w:t>
      </w:r>
    </w:p>
    <w:p w:rsidR="00802179" w:rsidRPr="006D07FA" w:rsidRDefault="00802179" w:rsidP="00802179">
      <w:pPr>
        <w:rPr>
          <w:rFonts w:cs="Calibri"/>
        </w:rPr>
      </w:pPr>
      <w:r>
        <w:rPr>
          <w:rFonts w:cs="Calibri"/>
        </w:rPr>
        <w:t>“It has been used in pediatric TBI and has been translated into over 48 languages including Spanish.” – McCauley et al. 2012</w:t>
      </w:r>
    </w:p>
    <w:p w:rsidR="00802179" w:rsidRPr="006D07FA" w:rsidRDefault="00802179" w:rsidP="00627C94">
      <w:pPr>
        <w:pStyle w:val="Heading3"/>
      </w:pPr>
      <w:r w:rsidRPr="006D07FA">
        <w:t>REFERENCES</w:t>
      </w:r>
    </w:p>
    <w:p w:rsidR="00802179" w:rsidRPr="006D07FA" w:rsidRDefault="00802179" w:rsidP="00802179">
      <w:pPr>
        <w:rPr>
          <w:rFonts w:cs="Calibri"/>
        </w:rPr>
      </w:pPr>
      <w:r w:rsidRPr="006D07FA">
        <w:rPr>
          <w:rFonts w:cs="Calibri"/>
        </w:rPr>
        <w:t>Aitken, M., McCarthy, M., Slomine, B., Ding, R., Durbin, D., Jaffe, K., Paidas, C., Dorsch, A., Christensen, J., and Mackenzie, E. (2009). Family burden after traumatic brain injury in children. Pediatrics 123, 199-206.</w:t>
      </w:r>
    </w:p>
    <w:p w:rsidR="00802179" w:rsidRPr="006D07FA" w:rsidRDefault="00802179" w:rsidP="00802179">
      <w:pPr>
        <w:rPr>
          <w:rFonts w:cs="Calibri"/>
        </w:rPr>
      </w:pPr>
      <w:r w:rsidRPr="006D07FA">
        <w:rPr>
          <w:rFonts w:cs="Calibri"/>
        </w:rPr>
        <w:t>Calvert, S., Miller, H., Curran, A., Hameed, B., McCarter, R., Edwards, R., Hunt, L., and Sharples, P. (2008). The King’s outcome scale for childhood head injury and injury severity and outcome measures in children with traumatic brain injury. Developmental Medicine and Child Neurology 50(6), 426-431.</w:t>
      </w:r>
    </w:p>
    <w:p w:rsidR="00802179" w:rsidRPr="006D07FA" w:rsidRDefault="00802179" w:rsidP="00802179">
      <w:pPr>
        <w:rPr>
          <w:rFonts w:cs="Calibri"/>
        </w:rPr>
      </w:pPr>
      <w:r w:rsidRPr="006D07FA">
        <w:rPr>
          <w:rFonts w:cs="Calibri"/>
        </w:rPr>
        <w:t>Curran, A., Miller, H., McCarter, R., Sharples, P., and The Kids Head Injury Study Group (2003). Measuring quality of life after traumatic brain injury in children: How does the Health Utilities Index (HUI) compare to the Pediatric Quality of Life measure (PedsQL)? Arch Dis Child 88, A24.</w:t>
      </w:r>
    </w:p>
    <w:p w:rsidR="00802179" w:rsidRPr="006D07FA" w:rsidRDefault="00802179" w:rsidP="00802179">
      <w:pPr>
        <w:rPr>
          <w:rFonts w:cs="Calibri"/>
        </w:rPr>
      </w:pPr>
      <w:r w:rsidRPr="006D07FA">
        <w:rPr>
          <w:rFonts w:cs="Calibri"/>
        </w:rPr>
        <w:lastRenderedPageBreak/>
        <w:t>Erickson, S., Montague, E., and Gerstle, M. (2010). Health-related quality of life in children with moderate-to-severe traumatic brain injury. Dev Neurorehabil 13, 175-181.</w:t>
      </w:r>
    </w:p>
    <w:p w:rsidR="00802179" w:rsidRPr="006D07FA" w:rsidRDefault="00802179" w:rsidP="00802179">
      <w:pPr>
        <w:rPr>
          <w:rFonts w:cs="Calibri"/>
        </w:rPr>
      </w:pPr>
      <w:r w:rsidRPr="006D07FA">
        <w:rPr>
          <w:rFonts w:cs="Calibri"/>
        </w:rPr>
        <w:t>McCarthy, M. L., MacKenzie, E. J., Durbin, D. R., Aitken, M. E., Jaffe, K. M., Paidas, C. N., Slomine, B. S., Dorsch, A. M., Berk, R. A., Christensen, J. R., and Ding, R. (2005). The Pediatric Quality of Life Inventory: an evaluation of its reliability and validity for children with traumatic brain injury. Arch Phys Med Rehabil 86(10), 1901-1909.</w:t>
      </w:r>
    </w:p>
    <w:p w:rsidR="00802179" w:rsidRPr="006D07FA" w:rsidRDefault="00802179" w:rsidP="00802179">
      <w:pPr>
        <w:rPr>
          <w:rFonts w:cs="Calibri"/>
        </w:rPr>
      </w:pPr>
      <w:r w:rsidRPr="006D07FA">
        <w:rPr>
          <w:rFonts w:cs="Calibri"/>
        </w:rPr>
        <w:t>McCarthy, M. L., MacKenzie, E. J., Durbin, D. R., Aitken, M. E., Jaffe, K. M., Paidas, C. N., Slomine, B. S., Dorsch, A. M., Christensen, J. R., and Ding, R. (2006). Health-related quality of life during the first year after traumatic brain injury. Arch Pediatr Adolesc Med 160(3), 252-260.</w:t>
      </w:r>
    </w:p>
    <w:p w:rsidR="00802179" w:rsidRPr="006D07FA" w:rsidRDefault="00802179" w:rsidP="00802179">
      <w:pPr>
        <w:rPr>
          <w:rFonts w:cs="Calibri"/>
        </w:rPr>
      </w:pPr>
      <w:r w:rsidRPr="006D07FA">
        <w:rPr>
          <w:rFonts w:cs="Calibri"/>
        </w:rPr>
        <w:t>Moon, R., Sutton, T., Wilson, P., Kirkham, F., and Davies, J. (in press). Pituitary function at long-term follow up of childhood traumatic brain injury. J Neurotrauma.</w:t>
      </w:r>
    </w:p>
    <w:p w:rsidR="00802179" w:rsidRPr="006D07FA" w:rsidRDefault="00802179" w:rsidP="00802179">
      <w:pPr>
        <w:rPr>
          <w:rFonts w:cs="Calibri"/>
        </w:rPr>
      </w:pPr>
      <w:r w:rsidRPr="006D07FA">
        <w:rPr>
          <w:rFonts w:cs="Calibri"/>
        </w:rPr>
        <w:t>Slomine, B., McCarthy, M., Ding, R., Mackenzie, E., Jaffe, K., Aitken, M., Durbin, D., Christensen, J., Dorsch, A., and Paidas, C. (2006). Health care utilization and needs after pediatric traumatic brain injury. Pediatrics 117(4), e663-e674.</w:t>
      </w:r>
    </w:p>
    <w:p w:rsidR="00802179" w:rsidRPr="006D07FA" w:rsidRDefault="00802179" w:rsidP="00802179">
      <w:pPr>
        <w:rPr>
          <w:rFonts w:cs="Calibri"/>
        </w:rPr>
      </w:pPr>
      <w:r w:rsidRPr="006D07FA">
        <w:rPr>
          <w:rFonts w:cs="Calibri"/>
        </w:rPr>
        <w:t>Varni, J., Burwinkle, T., Seid, M., and Skarr, D. (2003). The PedsQL 4.0 as a pediatric population health measure: feasibility, reliability, and validity. Ambul Pediatr 3(6), 329- 341.</w:t>
      </w:r>
    </w:p>
    <w:p w:rsidR="00802179" w:rsidRPr="006D07FA" w:rsidRDefault="00802179" w:rsidP="00802179">
      <w:pPr>
        <w:rPr>
          <w:rFonts w:cs="Calibri"/>
        </w:rPr>
      </w:pPr>
      <w:r w:rsidRPr="006D07FA">
        <w:rPr>
          <w:rFonts w:cs="Calibri"/>
        </w:rPr>
        <w:t>Varni, J., Seid, M., and Kurtin, P. (2001). PedsQL 4.0: reliability and validity of the Pediatric Quality of Life Inventory version 4.0 generic core scales in healthy and patient populations. Med Care 39(8), 800-812.</w:t>
      </w:r>
    </w:p>
    <w:p w:rsidR="00802179" w:rsidRPr="006D07FA" w:rsidRDefault="00802179" w:rsidP="00802179">
      <w:pPr>
        <w:rPr>
          <w:rFonts w:cs="Calibri"/>
        </w:rPr>
      </w:pPr>
      <w:r w:rsidRPr="006D07FA">
        <w:rPr>
          <w:rFonts w:cs="Calibri"/>
        </w:rPr>
        <w:t>Varni, J., Seid, M., and Rode, C. (1999). The PedsQL: measurement model for the pediatric quality of life inventory. Med Care 37(2), 126-139.</w:t>
      </w:r>
    </w:p>
    <w:p w:rsidR="00802179" w:rsidRPr="006D07FA" w:rsidRDefault="00802179" w:rsidP="00802179">
      <w:pPr>
        <w:rPr>
          <w:rFonts w:cs="Calibri"/>
        </w:rPr>
      </w:pPr>
    </w:p>
    <w:p w:rsidR="004E289F" w:rsidRPr="00DE235A" w:rsidRDefault="00DE235A" w:rsidP="00627C94">
      <w:pPr>
        <w:pStyle w:val="Heading2"/>
      </w:pPr>
      <w:r>
        <w:br w:type="page"/>
      </w:r>
      <w:r w:rsidR="004E289F" w:rsidRPr="00DE235A">
        <w:lastRenderedPageBreak/>
        <w:t>Social Skills Rating Scale (SSRS)</w:t>
      </w:r>
    </w:p>
    <w:p w:rsidR="004E289F" w:rsidRPr="002A6C4B" w:rsidRDefault="004E289F" w:rsidP="00627C94">
      <w:pPr>
        <w:pStyle w:val="Heading3"/>
      </w:pPr>
      <w:r w:rsidRPr="002A6C4B">
        <w:t>DESCRIPTION</w:t>
      </w:r>
    </w:p>
    <w:p w:rsidR="00695255" w:rsidRPr="002A6C4B" w:rsidRDefault="0044079C" w:rsidP="004E289F">
      <w:pPr>
        <w:rPr>
          <w:rFonts w:cs="Calibri"/>
        </w:rPr>
      </w:pPr>
      <w:r w:rsidRPr="002A6C4B">
        <w:rPr>
          <w:rFonts w:cs="Calibri"/>
        </w:rPr>
        <w:t xml:space="preserve">The SSRS </w:t>
      </w:r>
      <w:r w:rsidR="002A6C4B" w:rsidRPr="002A6C4B">
        <w:rPr>
          <w:rFonts w:cs="Calibri"/>
        </w:rPr>
        <w:t xml:space="preserve">assesses </w:t>
      </w:r>
      <w:r w:rsidRPr="002A6C4B">
        <w:rPr>
          <w:rFonts w:cs="Calibri"/>
        </w:rPr>
        <w:t xml:space="preserve">social behaviors </w:t>
      </w:r>
      <w:r w:rsidR="002A6C4B" w:rsidRPr="002A6C4B">
        <w:rPr>
          <w:rFonts w:cs="Calibri"/>
        </w:rPr>
        <w:t>such as</w:t>
      </w:r>
      <w:r w:rsidRPr="002A6C4B">
        <w:rPr>
          <w:rFonts w:cs="Calibri"/>
        </w:rPr>
        <w:t xml:space="preserve"> cooperation, empathy, assertion, self-control and responsibility</w:t>
      </w:r>
      <w:r w:rsidR="005B633A" w:rsidRPr="002A6C4B">
        <w:rPr>
          <w:rFonts w:cs="Calibri"/>
        </w:rPr>
        <w:t xml:space="preserve"> by gathering information from the child, their parents and teachers</w:t>
      </w:r>
      <w:r w:rsidRPr="002A6C4B">
        <w:rPr>
          <w:rFonts w:cs="Calibri"/>
        </w:rPr>
        <w:t xml:space="preserve">. </w:t>
      </w:r>
      <w:r w:rsidR="00844D73" w:rsidRPr="002A6C4B">
        <w:rPr>
          <w:rFonts w:cs="Calibri"/>
        </w:rPr>
        <w:t xml:space="preserve">The Problems Behaviors Scale assesses hyperactivity, externalizing and internalizing behaviors, all of which could interfere with the development of social skills. </w:t>
      </w:r>
      <w:r w:rsidR="002A6C4B" w:rsidRPr="002A6C4B">
        <w:rPr>
          <w:rFonts w:cs="Calibri"/>
        </w:rPr>
        <w:t>A</w:t>
      </w:r>
      <w:r w:rsidR="00DE235A">
        <w:rPr>
          <w:rFonts w:cs="Calibri"/>
        </w:rPr>
        <w:t xml:space="preserve"> </w:t>
      </w:r>
      <w:r w:rsidR="00666D10" w:rsidRPr="002A6C4B">
        <w:rPr>
          <w:rFonts w:cs="Calibri"/>
        </w:rPr>
        <w:t>teacher</w:t>
      </w:r>
      <w:r w:rsidR="002A6C4B" w:rsidRPr="002A6C4B">
        <w:rPr>
          <w:rFonts w:cs="Calibri"/>
        </w:rPr>
        <w:t xml:space="preserve"> report form</w:t>
      </w:r>
      <w:r w:rsidR="00666D10" w:rsidRPr="002A6C4B">
        <w:rPr>
          <w:rFonts w:cs="Calibri"/>
        </w:rPr>
        <w:t xml:space="preserve"> </w:t>
      </w:r>
      <w:r w:rsidR="002A6C4B" w:rsidRPr="002A6C4B">
        <w:rPr>
          <w:rFonts w:cs="Calibri"/>
        </w:rPr>
        <w:t xml:space="preserve">measures </w:t>
      </w:r>
      <w:r w:rsidR="00666D10" w:rsidRPr="002A6C4B">
        <w:rPr>
          <w:rFonts w:cs="Calibri"/>
        </w:rPr>
        <w:t xml:space="preserve">academic functioning. </w:t>
      </w:r>
    </w:p>
    <w:p w:rsidR="004E289F" w:rsidRPr="002A6C4B" w:rsidRDefault="004E289F" w:rsidP="00627C94">
      <w:pPr>
        <w:pStyle w:val="Heading3"/>
      </w:pPr>
      <w:r w:rsidRPr="002A6C4B">
        <w:t>PERMISSIBLE VALUES</w:t>
      </w:r>
    </w:p>
    <w:p w:rsidR="00695255" w:rsidRPr="002A6C4B" w:rsidRDefault="00695255" w:rsidP="004E289F">
      <w:pPr>
        <w:rPr>
          <w:rFonts w:cs="Calibri"/>
        </w:rPr>
      </w:pPr>
      <w:r w:rsidRPr="002A6C4B">
        <w:rPr>
          <w:rFonts w:cs="Calibri"/>
        </w:rPr>
        <w:t>Standard scores (M=100, SD=15) and percentile ranks are calculated from raw scale scores.</w:t>
      </w:r>
    </w:p>
    <w:p w:rsidR="004E289F" w:rsidRPr="002A6C4B" w:rsidRDefault="004E289F" w:rsidP="00627C94">
      <w:pPr>
        <w:pStyle w:val="Heading3"/>
      </w:pPr>
      <w:r w:rsidRPr="002A6C4B">
        <w:t>PROCEDURE</w:t>
      </w:r>
    </w:p>
    <w:p w:rsidR="00695255" w:rsidRPr="002A6C4B" w:rsidRDefault="00695255" w:rsidP="004E289F">
      <w:pPr>
        <w:rPr>
          <w:rFonts w:cs="Calibri"/>
        </w:rPr>
      </w:pPr>
      <w:r w:rsidRPr="002A6C4B">
        <w:rPr>
          <w:rFonts w:cs="Calibri"/>
        </w:rPr>
        <w:t xml:space="preserve">Questionnaires are available for parents, teachers, and children. Administration time is 10 to 25 minutes. Individuals who are qualified to interpret this test would either be certified by a professional organization in the relevant area of assessment; have a </w:t>
      </w:r>
      <w:r w:rsidR="00D70F44" w:rsidRPr="002A6C4B">
        <w:rPr>
          <w:rFonts w:cs="Calibri"/>
        </w:rPr>
        <w:t>m</w:t>
      </w:r>
      <w:r w:rsidR="00A74FFA" w:rsidRPr="002A6C4B">
        <w:rPr>
          <w:rFonts w:cs="Calibri"/>
        </w:rPr>
        <w:t>aster’s</w:t>
      </w:r>
      <w:r w:rsidR="00D70F44" w:rsidRPr="002A6C4B">
        <w:rPr>
          <w:rFonts w:cs="Calibri"/>
        </w:rPr>
        <w:t xml:space="preserve"> </w:t>
      </w:r>
      <w:r w:rsidRPr="002A6C4B">
        <w:rPr>
          <w:rFonts w:cs="Calibri"/>
        </w:rPr>
        <w:t>degree in psychology, education, or a related field with training in assessment; or have formal supervised training in the appropriate subject matter and the use of standardized assessments.</w:t>
      </w:r>
    </w:p>
    <w:p w:rsidR="004E289F" w:rsidRPr="002A6C4B" w:rsidRDefault="004E289F" w:rsidP="00627C94">
      <w:pPr>
        <w:pStyle w:val="Heading3"/>
      </w:pPr>
      <w:r w:rsidRPr="002A6C4B">
        <w:t>COMMENTS</w:t>
      </w:r>
    </w:p>
    <w:p w:rsidR="00695255" w:rsidRPr="002A6C4B" w:rsidRDefault="00695255" w:rsidP="004E289F">
      <w:pPr>
        <w:rPr>
          <w:rFonts w:cs="Calibri"/>
        </w:rPr>
      </w:pPr>
      <w:r w:rsidRPr="002A6C4B">
        <w:rPr>
          <w:rFonts w:cs="Calibri"/>
        </w:rPr>
        <w:t>The instrument is appropriate for use with children ages 3-18 years.</w:t>
      </w:r>
    </w:p>
    <w:p w:rsidR="004E289F" w:rsidRPr="002A6C4B" w:rsidRDefault="004E289F" w:rsidP="00627C94">
      <w:pPr>
        <w:pStyle w:val="Heading3"/>
      </w:pPr>
      <w:r w:rsidRPr="002A6C4B">
        <w:t xml:space="preserve">REFERENCES </w:t>
      </w:r>
    </w:p>
    <w:p w:rsidR="00695255" w:rsidRPr="002A6C4B" w:rsidRDefault="00695255" w:rsidP="004E289F">
      <w:pPr>
        <w:rPr>
          <w:rFonts w:cs="Calibri"/>
        </w:rPr>
      </w:pPr>
      <w:r w:rsidRPr="002A6C4B">
        <w:rPr>
          <w:rFonts w:cs="Calibri"/>
        </w:rPr>
        <w:t>Elliott, S., Gresham, F., Freeman, T., and McCloskey, G. (1988). Teacher and observer ratings of children's social skills: Validation of the Social Skills Rating Scale. J Psychoeduc Assess 6, 152-161.</w:t>
      </w:r>
    </w:p>
    <w:p w:rsidR="00666D10" w:rsidRPr="002A6C4B" w:rsidRDefault="00666D10" w:rsidP="004E289F">
      <w:pPr>
        <w:rPr>
          <w:rFonts w:cs="Calibri"/>
        </w:rPr>
      </w:pPr>
      <w:r w:rsidRPr="002A6C4B">
        <w:rPr>
          <w:rFonts w:cs="Calibri"/>
        </w:rPr>
        <w:t>PsychCorp/Pearson/Pearson Education, Inc. Social Skills Rating</w:t>
      </w:r>
      <w:r w:rsidR="002848FE">
        <w:rPr>
          <w:rFonts w:cs="Calibri"/>
        </w:rPr>
        <w:t xml:space="preserve"> Sys</w:t>
      </w:r>
      <w:r w:rsidRPr="002A6C4B">
        <w:rPr>
          <w:rFonts w:cs="Calibri"/>
        </w:rPr>
        <w:t xml:space="preserve">tem (SSRS). Retrieved on July 12, 2012, from </w:t>
      </w:r>
      <w:hyperlink r:id="rId8" w:history="1">
        <w:r w:rsidR="002848FE">
          <w:rPr>
            <w:rStyle w:val="Hyperlink"/>
            <w:rFonts w:cs="Calibri"/>
          </w:rPr>
          <w:t xml:space="preserve">Social Skills Rating System Link </w:t>
        </w:r>
      </w:hyperlink>
    </w:p>
    <w:p w:rsidR="004E289F" w:rsidRPr="00DE235A" w:rsidRDefault="00DE235A" w:rsidP="00627C94">
      <w:pPr>
        <w:pStyle w:val="Heading2"/>
      </w:pPr>
      <w:r>
        <w:br w:type="page"/>
      </w:r>
      <w:r w:rsidR="004E289F" w:rsidRPr="00DE235A">
        <w:lastRenderedPageBreak/>
        <w:t>Strengths and Difficulties Questionnaire</w:t>
      </w:r>
      <w:r w:rsidR="00666D10" w:rsidRPr="00DE235A">
        <w:t xml:space="preserve"> (SDQ)</w:t>
      </w:r>
      <w:r w:rsidR="004E289F" w:rsidRPr="00DE235A">
        <w:t>, Peer Relations and Pro</w:t>
      </w:r>
      <w:r w:rsidR="00406433" w:rsidRPr="00DE235A">
        <w:t>-</w:t>
      </w:r>
      <w:r w:rsidR="004E289F" w:rsidRPr="00DE235A">
        <w:t xml:space="preserve">social Behavior Subscales </w:t>
      </w:r>
    </w:p>
    <w:p w:rsidR="004E289F" w:rsidRPr="002A6C4B" w:rsidRDefault="004E289F" w:rsidP="00627C94">
      <w:pPr>
        <w:pStyle w:val="Heading3"/>
      </w:pPr>
      <w:r w:rsidRPr="002A6C4B">
        <w:t>DESCRIPTION</w:t>
      </w:r>
    </w:p>
    <w:p w:rsidR="00A66D67" w:rsidRPr="002A6C4B" w:rsidRDefault="00666D10" w:rsidP="004E289F">
      <w:pPr>
        <w:rPr>
          <w:rFonts w:cs="Calibri"/>
        </w:rPr>
      </w:pPr>
      <w:r w:rsidRPr="002A6C4B">
        <w:rPr>
          <w:rFonts w:cs="Calibri"/>
        </w:rPr>
        <w:t xml:space="preserve">The SDQ is a screening measure for detecting behavior problems. </w:t>
      </w:r>
      <w:r w:rsidR="00A66D67" w:rsidRPr="002A6C4B">
        <w:rPr>
          <w:rFonts w:cs="Calibri"/>
        </w:rPr>
        <w:t>There are multiple versions of the SDQ, depending on the age of the child, and the specific person completing the form (e.g. teacher/ parent, self-completion). The forms have between one and three of the following components:</w:t>
      </w:r>
    </w:p>
    <w:p w:rsidR="00666D10" w:rsidRPr="002A6C4B" w:rsidRDefault="00A66D67" w:rsidP="00A66D67">
      <w:pPr>
        <w:numPr>
          <w:ilvl w:val="0"/>
          <w:numId w:val="33"/>
        </w:numPr>
        <w:rPr>
          <w:rFonts w:cs="Calibri"/>
        </w:rPr>
      </w:pPr>
      <w:r w:rsidRPr="002A6C4B">
        <w:rPr>
          <w:rFonts w:cs="Calibri"/>
        </w:rPr>
        <w:t xml:space="preserve">All versions of the SDQ include 25-items pertaining to attributes and are divided into five sub-scales: </w:t>
      </w:r>
      <w:r w:rsidR="00666D10" w:rsidRPr="002A6C4B">
        <w:rPr>
          <w:rFonts w:cs="Calibri"/>
        </w:rPr>
        <w:t xml:space="preserve">emotional symptoms, </w:t>
      </w:r>
      <w:r w:rsidR="00406433" w:rsidRPr="002A6C4B">
        <w:rPr>
          <w:rFonts w:cs="Calibri"/>
        </w:rPr>
        <w:t xml:space="preserve">conduct problems, hyperactivity/inattention, peer relationship problems and pro-social behavior. </w:t>
      </w:r>
    </w:p>
    <w:p w:rsidR="00A66D67" w:rsidRPr="002A6C4B" w:rsidRDefault="00A66D67" w:rsidP="00A66D67">
      <w:pPr>
        <w:numPr>
          <w:ilvl w:val="0"/>
          <w:numId w:val="33"/>
        </w:numPr>
        <w:rPr>
          <w:rFonts w:cs="Calibri"/>
        </w:rPr>
      </w:pPr>
      <w:r w:rsidRPr="002A6C4B">
        <w:rPr>
          <w:rFonts w:cs="Calibri"/>
        </w:rPr>
        <w:t xml:space="preserve">Extended versions of the SDQ have questions pertaining to whether the respondent thinks the child has a problem and further questions about chronicity, distress, social impairment and burden to others. </w:t>
      </w:r>
    </w:p>
    <w:p w:rsidR="00A66D67" w:rsidRPr="002A6C4B" w:rsidRDefault="00A66D67" w:rsidP="00A66D67">
      <w:pPr>
        <w:numPr>
          <w:ilvl w:val="0"/>
          <w:numId w:val="33"/>
        </w:numPr>
        <w:rPr>
          <w:rFonts w:cs="Calibri"/>
        </w:rPr>
      </w:pPr>
      <w:r w:rsidRPr="002A6C4B">
        <w:rPr>
          <w:rFonts w:cs="Calibri"/>
        </w:rPr>
        <w:t xml:space="preserve">There are two follow-up questions for us after an intervention. The follow-up questions of the SDQ ask about the past one month, as opposed to the past six months or this school year, which is the reference period for the standard versions. </w:t>
      </w:r>
    </w:p>
    <w:p w:rsidR="004E289F" w:rsidRPr="002A6C4B" w:rsidRDefault="004E289F" w:rsidP="00627C94">
      <w:pPr>
        <w:pStyle w:val="Heading3"/>
      </w:pPr>
      <w:r w:rsidRPr="002A6C4B">
        <w:t>PERMISSIBLE VALUES</w:t>
      </w:r>
    </w:p>
    <w:p w:rsidR="00920F5A" w:rsidRPr="002A6C4B" w:rsidRDefault="00920F5A" w:rsidP="004E289F">
      <w:pPr>
        <w:rPr>
          <w:rFonts w:cs="Calibri"/>
        </w:rPr>
      </w:pPr>
      <w:r w:rsidRPr="002A6C4B">
        <w:rPr>
          <w:rFonts w:cs="Calibri"/>
        </w:rPr>
        <w:t>Quest</w:t>
      </w:r>
      <w:r w:rsidR="00406433" w:rsidRPr="002A6C4B">
        <w:rPr>
          <w:rFonts w:cs="Calibri"/>
        </w:rPr>
        <w:t>ions are answered on a 3-point L</w:t>
      </w:r>
      <w:r w:rsidR="00627C94">
        <w:rPr>
          <w:rFonts w:cs="Calibri"/>
        </w:rPr>
        <w:t xml:space="preserve">ikert scale. </w:t>
      </w:r>
      <w:r w:rsidRPr="002A6C4B">
        <w:rPr>
          <w:rFonts w:cs="Calibri"/>
        </w:rPr>
        <w:t>The score for each scale is the sum of item scores, gener</w:t>
      </w:r>
      <w:r w:rsidR="00AF27C5">
        <w:rPr>
          <w:rFonts w:cs="Calibri"/>
        </w:rPr>
        <w:t xml:space="preserve">ating a scale score from 0-10. </w:t>
      </w:r>
      <w:r w:rsidRPr="002A6C4B">
        <w:rPr>
          <w:rFonts w:cs="Calibri"/>
        </w:rPr>
        <w:t>A total difficulties score (from scores for hyperactivity, emotional symptoms, conduct problems and peer problems) ranges from 0-40.</w:t>
      </w:r>
    </w:p>
    <w:p w:rsidR="004E289F" w:rsidRPr="002A6C4B" w:rsidRDefault="004E289F" w:rsidP="00627C94">
      <w:pPr>
        <w:pStyle w:val="Heading3"/>
      </w:pPr>
      <w:r w:rsidRPr="002A6C4B">
        <w:t>PROCEDURE</w:t>
      </w:r>
    </w:p>
    <w:p w:rsidR="00920F5A" w:rsidRPr="002A6C4B" w:rsidRDefault="00920F5A" w:rsidP="004E289F">
      <w:pPr>
        <w:rPr>
          <w:rFonts w:cs="Calibri"/>
        </w:rPr>
      </w:pPr>
      <w:r w:rsidRPr="002A6C4B">
        <w:rPr>
          <w:rFonts w:cs="Calibri"/>
        </w:rPr>
        <w:t xml:space="preserve">May be completed by children 11-16, or by parents or teachers of children 4-16. It can </w:t>
      </w:r>
      <w:r w:rsidR="00406433" w:rsidRPr="002A6C4B">
        <w:rPr>
          <w:rFonts w:cs="Calibri"/>
        </w:rPr>
        <w:t xml:space="preserve">be completed in about 5 minutes using paper and pencil. </w:t>
      </w:r>
    </w:p>
    <w:p w:rsidR="004E289F" w:rsidRPr="002A6C4B" w:rsidRDefault="004E289F" w:rsidP="00627C94">
      <w:pPr>
        <w:pStyle w:val="Heading3"/>
      </w:pPr>
      <w:r w:rsidRPr="002A6C4B">
        <w:t>COMMENTS</w:t>
      </w:r>
    </w:p>
    <w:p w:rsidR="00920F5A" w:rsidRPr="002A6C4B" w:rsidRDefault="00920F5A" w:rsidP="004E289F">
      <w:pPr>
        <w:rPr>
          <w:rFonts w:cs="Calibri"/>
        </w:rPr>
      </w:pPr>
      <w:r w:rsidRPr="002A6C4B">
        <w:rPr>
          <w:rFonts w:cs="Calibri"/>
        </w:rPr>
        <w:t>For children ages 4 through 16 (11 through 16 for self-report).</w:t>
      </w:r>
    </w:p>
    <w:p w:rsidR="004E289F" w:rsidRPr="002A6C4B" w:rsidRDefault="004E289F" w:rsidP="00627C94">
      <w:pPr>
        <w:pStyle w:val="Heading3"/>
      </w:pPr>
      <w:r w:rsidRPr="002A6C4B">
        <w:t>RATIONALE</w:t>
      </w:r>
    </w:p>
    <w:p w:rsidR="00556769" w:rsidRPr="002A6C4B" w:rsidRDefault="00802179" w:rsidP="004E289F">
      <w:pPr>
        <w:rPr>
          <w:rFonts w:cs="Calibri"/>
        </w:rPr>
      </w:pPr>
      <w:r>
        <w:rPr>
          <w:rFonts w:cs="Calibri"/>
        </w:rPr>
        <w:t>“</w:t>
      </w:r>
      <w:r w:rsidR="00556769" w:rsidRPr="002A6C4B">
        <w:rPr>
          <w:rFonts w:cs="Calibri"/>
        </w:rPr>
        <w:t>The SDQ is increasingly used in studies of TBI outside of the U.S., considerably shorter than the CBCL, and available without cost. Thus, it may afford a useful alternative for those seeking a les</w:t>
      </w:r>
      <w:r>
        <w:rPr>
          <w:rFonts w:cs="Calibri"/>
        </w:rPr>
        <w:t>s intensive and costly measure.” – McCauley et al. 2012</w:t>
      </w:r>
    </w:p>
    <w:p w:rsidR="00ED2662" w:rsidRPr="002A6C4B" w:rsidRDefault="004E289F" w:rsidP="00627C94">
      <w:pPr>
        <w:pStyle w:val="Heading3"/>
      </w:pPr>
      <w:r w:rsidRPr="002A6C4B">
        <w:t>REFERENCES</w:t>
      </w:r>
    </w:p>
    <w:p w:rsidR="00ED2662" w:rsidRPr="002A6C4B" w:rsidRDefault="00ED2662" w:rsidP="004E289F">
      <w:pPr>
        <w:rPr>
          <w:rFonts w:cs="Calibri"/>
        </w:rPr>
      </w:pPr>
      <w:r w:rsidRPr="002A6C4B">
        <w:rPr>
          <w:rFonts w:cs="Calibri"/>
        </w:rPr>
        <w:t>Goodman, R., and Scott, S. (1999). Comparing the Strengths and Difficulties Questionnaire and the Child Behavior Checklist: Is small beautiful? J Abnor Child Psychol 25, 17-24.</w:t>
      </w:r>
    </w:p>
    <w:p w:rsidR="00ED2662" w:rsidRPr="002A6C4B" w:rsidRDefault="00ED2662" w:rsidP="00ED2662">
      <w:pPr>
        <w:autoSpaceDE w:val="0"/>
        <w:autoSpaceDN w:val="0"/>
        <w:adjustRightInd w:val="0"/>
        <w:spacing w:after="0" w:line="240" w:lineRule="auto"/>
        <w:rPr>
          <w:rFonts w:cs="Calibri"/>
        </w:rPr>
      </w:pPr>
      <w:r w:rsidRPr="002A6C4B">
        <w:rPr>
          <w:rFonts w:cs="Calibri"/>
        </w:rPr>
        <w:lastRenderedPageBreak/>
        <w:t xml:space="preserve">Gale, E. and Holling, A. (2000). Young people and stigma, </w:t>
      </w:r>
      <w:r w:rsidRPr="002A6C4B">
        <w:rPr>
          <w:rFonts w:cs="Calibri"/>
          <w:iCs/>
        </w:rPr>
        <w:t>YoungMinds Magazine</w:t>
      </w:r>
      <w:r w:rsidRPr="002A6C4B">
        <w:rPr>
          <w:rFonts w:cs="Calibri"/>
        </w:rPr>
        <w:t>, 49-50.</w:t>
      </w:r>
    </w:p>
    <w:p w:rsidR="00ED2662" w:rsidRPr="002A6C4B" w:rsidRDefault="00ED2662" w:rsidP="00ED2662">
      <w:pPr>
        <w:autoSpaceDE w:val="0"/>
        <w:autoSpaceDN w:val="0"/>
        <w:adjustRightInd w:val="0"/>
        <w:spacing w:after="0" w:line="240" w:lineRule="auto"/>
        <w:rPr>
          <w:rFonts w:cs="Calibri"/>
        </w:rPr>
      </w:pPr>
      <w:r w:rsidRPr="002A6C4B">
        <w:rPr>
          <w:rFonts w:cs="Calibri"/>
        </w:rPr>
        <w:t>Goodman, R. (1997). The Strengths and Difficulties Questionnaire: A Research Note.</w:t>
      </w:r>
    </w:p>
    <w:p w:rsidR="00ED2662" w:rsidRPr="002A6C4B" w:rsidRDefault="00ED2662" w:rsidP="00ED2662">
      <w:pPr>
        <w:rPr>
          <w:rFonts w:cs="Calibri"/>
        </w:rPr>
      </w:pPr>
      <w:r w:rsidRPr="002A6C4B">
        <w:rPr>
          <w:rFonts w:cs="Calibri"/>
          <w:iCs/>
        </w:rPr>
        <w:t>Journal of Child Psychology and Psychiatry</w:t>
      </w:r>
      <w:r w:rsidRPr="002A6C4B">
        <w:rPr>
          <w:rFonts w:cs="Calibri"/>
        </w:rPr>
        <w:t xml:space="preserve">, </w:t>
      </w:r>
      <w:r w:rsidRPr="002A6C4B">
        <w:rPr>
          <w:rFonts w:cs="Calibri"/>
          <w:bCs/>
        </w:rPr>
        <w:t>38</w:t>
      </w:r>
      <w:r w:rsidRPr="002A6C4B">
        <w:rPr>
          <w:rFonts w:cs="Calibri"/>
        </w:rPr>
        <w:t>, 5, 581-586.</w:t>
      </w:r>
    </w:p>
    <w:p w:rsidR="004E289F" w:rsidRPr="002A6C4B" w:rsidRDefault="000B5AD0" w:rsidP="004E289F">
      <w:pPr>
        <w:rPr>
          <w:rFonts w:cs="Calibri"/>
        </w:rPr>
      </w:pPr>
      <w:r w:rsidRPr="002A6C4B">
        <w:rPr>
          <w:rFonts w:cs="Calibri"/>
        </w:rPr>
        <w:t xml:space="preserve">The California Evidence-Based Clearinghouse for Child Welfare. Strengths and Difficulties Questionnaire (SDQ). Retrieved on July 12, 2012, from </w:t>
      </w:r>
      <w:hyperlink r:id="rId9" w:history="1">
        <w:r w:rsidR="00C945E2">
          <w:rPr>
            <w:rStyle w:val="Hyperlink"/>
            <w:rFonts w:cs="Calibri"/>
          </w:rPr>
          <w:t xml:space="preserve">California Evidence-Based Clearinghouse for Child Welfare Strengths and Difficulties Questionnaire </w:t>
        </w:r>
      </w:hyperlink>
    </w:p>
    <w:p w:rsidR="004E289F" w:rsidRPr="00DE235A" w:rsidRDefault="00DE235A" w:rsidP="00627C94">
      <w:pPr>
        <w:pStyle w:val="Heading2"/>
      </w:pPr>
      <w:r>
        <w:br w:type="page"/>
      </w:r>
      <w:r w:rsidR="007E74BE" w:rsidRPr="00DE235A">
        <w:lastRenderedPageBreak/>
        <w:t>Vineland-II, Socialization S</w:t>
      </w:r>
      <w:r w:rsidR="004E289F" w:rsidRPr="00DE235A">
        <w:t xml:space="preserve">cale </w:t>
      </w:r>
    </w:p>
    <w:p w:rsidR="00802179" w:rsidRPr="006D6F51" w:rsidRDefault="00802179" w:rsidP="00627C94">
      <w:pPr>
        <w:pStyle w:val="Heading3"/>
      </w:pPr>
      <w:r w:rsidRPr="006D6F51">
        <w:t>DESCRIPTION</w:t>
      </w:r>
    </w:p>
    <w:p w:rsidR="00802179" w:rsidRPr="006D6F51" w:rsidRDefault="00802179" w:rsidP="00802179">
      <w:pPr>
        <w:rPr>
          <w:rFonts w:cs="Calibri"/>
        </w:rPr>
      </w:pPr>
      <w:r w:rsidRPr="006D6F51">
        <w:rPr>
          <w:rFonts w:cs="Calibri"/>
        </w:rPr>
        <w:t xml:space="preserve">The VABS-II measures personal and social skills needed in an individual’s everyday life. There are five domains: Communication, Daily Living Skills, Socialization, Motor Skills, and Maladaptive Behavior Index (optional domain). </w:t>
      </w:r>
      <w:r w:rsidRPr="002A6C4B">
        <w:rPr>
          <w:rFonts w:cs="Calibri"/>
        </w:rPr>
        <w:t xml:space="preserve">The Socialization </w:t>
      </w:r>
      <w:r>
        <w:rPr>
          <w:rFonts w:cs="Calibri"/>
        </w:rPr>
        <w:t xml:space="preserve">scale includes the domains </w:t>
      </w:r>
      <w:r w:rsidRPr="002A6C4B">
        <w:rPr>
          <w:rFonts w:cs="Calibri"/>
        </w:rPr>
        <w:t>Interpersonal Relationships, Play and Leisure T</w:t>
      </w:r>
      <w:r>
        <w:rPr>
          <w:rFonts w:cs="Calibri"/>
        </w:rPr>
        <w:t xml:space="preserve">ime and Coping Skills. </w:t>
      </w:r>
      <w:r w:rsidRPr="006D6F51">
        <w:rPr>
          <w:rFonts w:cs="Calibri"/>
        </w:rPr>
        <w:t xml:space="preserve">The measure includes four forms: survey interview, parent/ caregiver rating, expanded interview and teacher rating. </w:t>
      </w:r>
    </w:p>
    <w:p w:rsidR="00802179" w:rsidRPr="006D6F51" w:rsidRDefault="00802179" w:rsidP="00627C94">
      <w:pPr>
        <w:pStyle w:val="Heading3"/>
      </w:pPr>
      <w:r w:rsidRPr="006D6F51">
        <w:t xml:space="preserve">PERMISSIBLE VALUES </w:t>
      </w:r>
    </w:p>
    <w:p w:rsidR="00802179" w:rsidRPr="006D6F51" w:rsidRDefault="00802179" w:rsidP="00802179">
      <w:pPr>
        <w:rPr>
          <w:rFonts w:cs="Calibri"/>
        </w:rPr>
      </w:pPr>
      <w:r w:rsidRPr="006D6F51">
        <w:rPr>
          <w:rFonts w:cs="Calibri"/>
        </w:rPr>
        <w:t>Standard scores with mean = 100, SD = 15, percentile ranks, adaptive levels are provided for Domains an</w:t>
      </w:r>
      <w:r w:rsidR="00627C94">
        <w:rPr>
          <w:rFonts w:cs="Calibri"/>
        </w:rPr>
        <w:t xml:space="preserve">d Adaptive Behavior Composite. </w:t>
      </w:r>
      <w:r w:rsidRPr="006D6F51">
        <w:rPr>
          <w:rFonts w:cs="Calibri"/>
        </w:rPr>
        <w:t>Subdomains are scored with a V-scale score (mean= 15, SD = 3), adaptive levels, and age equivalents.</w:t>
      </w:r>
    </w:p>
    <w:p w:rsidR="00802179" w:rsidRPr="006D6F51" w:rsidRDefault="00802179" w:rsidP="00627C94">
      <w:pPr>
        <w:pStyle w:val="Heading3"/>
      </w:pPr>
      <w:r w:rsidRPr="006D6F51">
        <w:t>PROCEDURE</w:t>
      </w:r>
    </w:p>
    <w:p w:rsidR="00802179" w:rsidRPr="006D6F51" w:rsidRDefault="00802179" w:rsidP="00802179">
      <w:pPr>
        <w:rPr>
          <w:rFonts w:cs="Calibri"/>
        </w:rPr>
      </w:pPr>
      <w:r w:rsidRPr="006D6F51">
        <w:rPr>
          <w:rFonts w:cs="Calibri"/>
        </w:rPr>
        <w:t>Administration is by paper and pencil. The test takes between 20 and 60 minutes.</w:t>
      </w:r>
    </w:p>
    <w:p w:rsidR="00802179" w:rsidRPr="006D6F51" w:rsidRDefault="00802179" w:rsidP="00627C94">
      <w:pPr>
        <w:pStyle w:val="Heading3"/>
      </w:pPr>
      <w:r w:rsidRPr="006D6F51">
        <w:t>COMMENTS</w:t>
      </w:r>
    </w:p>
    <w:p w:rsidR="00802179" w:rsidRPr="006D6F51" w:rsidRDefault="00802179" w:rsidP="00802179">
      <w:pPr>
        <w:rPr>
          <w:rFonts w:cs="Calibri"/>
        </w:rPr>
      </w:pPr>
      <w:r w:rsidRPr="006D6F51">
        <w:rPr>
          <w:rFonts w:cs="Calibri"/>
        </w:rPr>
        <w:t>This instrument may be used from birth to 90 years.</w:t>
      </w:r>
    </w:p>
    <w:p w:rsidR="00802179" w:rsidRPr="006D6F51" w:rsidRDefault="00802179" w:rsidP="00627C94">
      <w:pPr>
        <w:pStyle w:val="Heading3"/>
      </w:pPr>
      <w:r w:rsidRPr="006D6F51">
        <w:t xml:space="preserve">RATIONALE </w:t>
      </w:r>
    </w:p>
    <w:p w:rsidR="00802179" w:rsidRPr="006D6F51" w:rsidRDefault="00802179" w:rsidP="00802179">
      <w:pPr>
        <w:autoSpaceDE w:val="0"/>
        <w:autoSpaceDN w:val="0"/>
        <w:adjustRightInd w:val="0"/>
        <w:spacing w:after="0" w:line="240" w:lineRule="auto"/>
        <w:jc w:val="both"/>
        <w:rPr>
          <w:rFonts w:cs="Calibri"/>
        </w:rPr>
      </w:pPr>
      <w:r w:rsidRPr="006D6F51">
        <w:rPr>
          <w:rFonts w:cs="Calibri"/>
        </w:rPr>
        <w:t>“The VABS-II and the original VABS have established evidence of reliability and validity and have been used in many pediatric TBI studies primarily for studying long-term sequelae, family functioning, and school adaptation. The VABS-II can be used with a broad age range of individuals (infancy to 89 years) and test procedures (i.e., age range allows for establishing accurate basal level) and is useful when working with low cognitive functioning populations such as those with severe TBI.”</w:t>
      </w:r>
      <w:r>
        <w:rPr>
          <w:rFonts w:cs="Calibri"/>
        </w:rPr>
        <w:t xml:space="preserve"> </w:t>
      </w:r>
      <w:r w:rsidRPr="005463F4">
        <w:rPr>
          <w:rFonts w:cs="Calibri"/>
        </w:rPr>
        <w:t>- McCauley et al. 2012</w:t>
      </w:r>
    </w:p>
    <w:p w:rsidR="00802179" w:rsidRPr="006D6F51" w:rsidRDefault="00802179" w:rsidP="00627C94">
      <w:pPr>
        <w:pStyle w:val="Heading3"/>
      </w:pPr>
      <w:r w:rsidRPr="006D6F51">
        <w:t>REFERENCES</w:t>
      </w:r>
    </w:p>
    <w:p w:rsidR="00802179" w:rsidRPr="006D6F51" w:rsidRDefault="00802179" w:rsidP="00627C94">
      <w:pPr>
        <w:autoSpaceDE w:val="0"/>
        <w:autoSpaceDN w:val="0"/>
        <w:adjustRightInd w:val="0"/>
        <w:spacing w:before="120" w:after="60" w:line="240" w:lineRule="auto"/>
        <w:rPr>
          <w:rFonts w:cs="Calibri"/>
        </w:rPr>
      </w:pPr>
      <w:r w:rsidRPr="006D6F51">
        <w:rPr>
          <w:rFonts w:cs="Calibri"/>
        </w:rPr>
        <w:t>Sparrow, S., Cicchetti, D., and Balla, D. (2005). Vineland Adaptive Behavior Scales, Second edition. AGS Publishing: Circle Pines, MN.</w:t>
      </w:r>
    </w:p>
    <w:p w:rsidR="00802179" w:rsidRPr="006D6F51" w:rsidRDefault="00802179" w:rsidP="00627C94">
      <w:pPr>
        <w:autoSpaceDE w:val="0"/>
        <w:autoSpaceDN w:val="0"/>
        <w:adjustRightInd w:val="0"/>
        <w:spacing w:before="120" w:after="60" w:line="240" w:lineRule="auto"/>
        <w:rPr>
          <w:rFonts w:cs="Calibri"/>
        </w:rPr>
      </w:pPr>
      <w:r w:rsidRPr="006D6F51">
        <w:rPr>
          <w:rFonts w:cs="Calibri"/>
        </w:rPr>
        <w:t>Sparrow, S., Cicchetti, D., and Balla, D. (1984). Vineland Adaptive Behavior Scales. American Guidance: Circle Pines, MN.</w:t>
      </w:r>
    </w:p>
    <w:p w:rsidR="00802179" w:rsidRPr="006D6F51" w:rsidRDefault="00802179" w:rsidP="00627C94">
      <w:pPr>
        <w:autoSpaceDE w:val="0"/>
        <w:autoSpaceDN w:val="0"/>
        <w:adjustRightInd w:val="0"/>
        <w:spacing w:before="120" w:after="60" w:line="240" w:lineRule="auto"/>
        <w:rPr>
          <w:rFonts w:cs="Calibri"/>
        </w:rPr>
      </w:pPr>
      <w:r w:rsidRPr="006D6F51">
        <w:rPr>
          <w:rFonts w:cs="Calibri"/>
        </w:rPr>
        <w:t>Hawley, C. (2004). Behaviour and school performance after brain injury. Brain Inj 8, 645-659.</w:t>
      </w:r>
    </w:p>
    <w:p w:rsidR="00802179" w:rsidRPr="006D6F51" w:rsidRDefault="00802179" w:rsidP="00627C94">
      <w:pPr>
        <w:autoSpaceDE w:val="0"/>
        <w:autoSpaceDN w:val="0"/>
        <w:adjustRightInd w:val="0"/>
        <w:spacing w:before="120" w:after="60" w:line="240" w:lineRule="auto"/>
        <w:rPr>
          <w:rFonts w:cs="Calibri"/>
        </w:rPr>
      </w:pPr>
      <w:r w:rsidRPr="006D6F51">
        <w:rPr>
          <w:rFonts w:cs="Calibri"/>
        </w:rPr>
        <w:t>Josie, K., Peterson, C., Burant, C., Drotar, D., Stancin, T., Wade, S., Yeates, K., and Taylor, H. (2008). Predicting family burden following childhood traumatic brain injury: a</w:t>
      </w:r>
    </w:p>
    <w:p w:rsidR="00802179" w:rsidRPr="006D6F51" w:rsidRDefault="00802179" w:rsidP="00627C94">
      <w:pPr>
        <w:autoSpaceDE w:val="0"/>
        <w:autoSpaceDN w:val="0"/>
        <w:adjustRightInd w:val="0"/>
        <w:spacing w:before="120" w:after="60" w:line="240" w:lineRule="auto"/>
        <w:rPr>
          <w:rFonts w:cs="Calibri"/>
        </w:rPr>
      </w:pPr>
      <w:r w:rsidRPr="006D6F51">
        <w:rPr>
          <w:rFonts w:cs="Calibri"/>
        </w:rPr>
        <w:t>cumulative risk approach. Head Trauma Rehabil 23, 357-368.</w:t>
      </w:r>
    </w:p>
    <w:p w:rsidR="00802179" w:rsidRPr="006D6F51" w:rsidRDefault="00802179" w:rsidP="00627C94">
      <w:pPr>
        <w:autoSpaceDE w:val="0"/>
        <w:autoSpaceDN w:val="0"/>
        <w:adjustRightInd w:val="0"/>
        <w:spacing w:before="120" w:after="60" w:line="240" w:lineRule="auto"/>
        <w:rPr>
          <w:rFonts w:cs="Calibri"/>
        </w:rPr>
      </w:pPr>
      <w:r w:rsidRPr="006D6F51">
        <w:rPr>
          <w:rFonts w:cs="Calibri"/>
        </w:rPr>
        <w:t>Max, J., Koele, S., Lindgren, S., Robin, D., Smith, W., Sato, Y., and Arndt, S. (1998). Adaptive functioning following traumatic brain injury and orthopedic injury: a controlled study. Arch Phys Med Rehabil 79, 893-899.</w:t>
      </w:r>
    </w:p>
    <w:p w:rsidR="00802179" w:rsidRPr="006D6F51" w:rsidRDefault="00802179" w:rsidP="00802179">
      <w:pPr>
        <w:autoSpaceDE w:val="0"/>
        <w:autoSpaceDN w:val="0"/>
        <w:adjustRightInd w:val="0"/>
        <w:spacing w:after="0" w:line="240" w:lineRule="auto"/>
        <w:rPr>
          <w:rFonts w:cs="Calibri"/>
        </w:rPr>
      </w:pPr>
      <w:r w:rsidRPr="006D6F51">
        <w:rPr>
          <w:rFonts w:cs="Calibri"/>
        </w:rPr>
        <w:lastRenderedPageBreak/>
        <w:t>Taylor, H., Yeates, K., Wade, S., Drotar, D., Stancin, T., and Minich, N. (2002). A prospective study of short- and long-term outcomes after traumatic brain injury in children: behavior and achievement. Neuropsychology 16, 15-27.</w:t>
      </w:r>
    </w:p>
    <w:p w:rsidR="00802179" w:rsidRPr="006D6F51" w:rsidRDefault="00802179" w:rsidP="00802179">
      <w:pPr>
        <w:autoSpaceDE w:val="0"/>
        <w:autoSpaceDN w:val="0"/>
        <w:adjustRightInd w:val="0"/>
        <w:spacing w:after="0" w:line="240" w:lineRule="auto"/>
        <w:rPr>
          <w:rFonts w:cs="Calibri"/>
        </w:rPr>
      </w:pPr>
    </w:p>
    <w:p w:rsidR="00802179" w:rsidRPr="006D6F51" w:rsidRDefault="00802179" w:rsidP="00802179">
      <w:pPr>
        <w:autoSpaceDE w:val="0"/>
        <w:autoSpaceDN w:val="0"/>
        <w:adjustRightInd w:val="0"/>
        <w:spacing w:after="0" w:line="240" w:lineRule="auto"/>
        <w:rPr>
          <w:rFonts w:cs="Calibri"/>
        </w:rPr>
      </w:pPr>
      <w:r w:rsidRPr="006D6F51">
        <w:rPr>
          <w:rFonts w:cs="Calibri"/>
        </w:rPr>
        <w:t>Yeates, K., Swift, E., Taylor, H., Wade, S., Drotar, D., Stancin, T., and Minich, N. (2004). Shortand long-term social outcomes following pediatric traumatic brain injury. J Int Neuropsychol Soc 10, 412-426.</w:t>
      </w:r>
    </w:p>
    <w:p w:rsidR="00802179" w:rsidRPr="006D6F51" w:rsidRDefault="00802179" w:rsidP="00802179">
      <w:pPr>
        <w:autoSpaceDE w:val="0"/>
        <w:autoSpaceDN w:val="0"/>
        <w:adjustRightInd w:val="0"/>
        <w:spacing w:after="0" w:line="240" w:lineRule="auto"/>
        <w:rPr>
          <w:rFonts w:cs="Calibri"/>
        </w:rPr>
      </w:pPr>
    </w:p>
    <w:p w:rsidR="00802179" w:rsidRPr="006D6F51" w:rsidRDefault="00802179" w:rsidP="00802179">
      <w:pPr>
        <w:autoSpaceDE w:val="0"/>
        <w:autoSpaceDN w:val="0"/>
        <w:adjustRightInd w:val="0"/>
        <w:spacing w:after="0" w:line="240" w:lineRule="auto"/>
        <w:rPr>
          <w:rFonts w:cs="Calibri"/>
        </w:rPr>
      </w:pPr>
      <w:r w:rsidRPr="006D6F51">
        <w:rPr>
          <w:rFonts w:cs="Calibri"/>
        </w:rPr>
        <w:t xml:space="preserve">Psych Corp/Pearson/Pearson Education, Inc. Vineland Adaptive Behavior Scales, Second Edition (Vineland II). Retrieved on July 10, 2012, from </w:t>
      </w:r>
      <w:hyperlink r:id="rId10" w:history="1">
        <w:r w:rsidR="00C945E2">
          <w:rPr>
            <w:rStyle w:val="Hyperlink"/>
            <w:rFonts w:cs="Calibri"/>
          </w:rPr>
          <w:t>Vineland Adaptive Behavior Scales Instrument Link</w:t>
        </w:r>
      </w:hyperlink>
      <w:r w:rsidRPr="006D6F51">
        <w:rPr>
          <w:rFonts w:cs="Calibri"/>
        </w:rPr>
        <w:t xml:space="preserve"> </w:t>
      </w:r>
    </w:p>
    <w:sectPr w:rsidR="00802179" w:rsidRPr="006D6F51" w:rsidSect="00B5027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2D3" w:rsidRDefault="000812D3" w:rsidP="003256BA">
      <w:pPr>
        <w:spacing w:after="0" w:line="240" w:lineRule="auto"/>
      </w:pPr>
      <w:r>
        <w:separator/>
      </w:r>
    </w:p>
  </w:endnote>
  <w:endnote w:type="continuationSeparator" w:id="0">
    <w:p w:rsidR="000812D3" w:rsidRDefault="000812D3" w:rsidP="0032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C4B" w:rsidRDefault="00AF27C5" w:rsidP="00AF27C5">
    <w:pPr>
      <w:pStyle w:val="Footer"/>
      <w:tabs>
        <w:tab w:val="clear" w:pos="4680"/>
      </w:tabs>
    </w:pPr>
    <w:r>
      <w:t>TBI Version 2.0</w:t>
    </w:r>
    <w:r>
      <w:tab/>
      <w:t xml:space="preserve">Page </w:t>
    </w:r>
    <w:r>
      <w:rPr>
        <w:b/>
        <w:bCs/>
      </w:rPr>
      <w:fldChar w:fldCharType="begin"/>
    </w:r>
    <w:r>
      <w:rPr>
        <w:b/>
        <w:bCs/>
      </w:rPr>
      <w:instrText xml:space="preserve"> PAGE  \* Arabic  \* MERGEFORMAT </w:instrText>
    </w:r>
    <w:r>
      <w:rPr>
        <w:b/>
        <w:bCs/>
      </w:rPr>
      <w:fldChar w:fldCharType="separate"/>
    </w:r>
    <w:r w:rsidR="0064331A">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4331A">
      <w:rPr>
        <w:b/>
        <w:bCs/>
        <w:noProof/>
      </w:rPr>
      <w:t>16</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2D3" w:rsidRDefault="000812D3" w:rsidP="003256BA">
      <w:pPr>
        <w:spacing w:after="0" w:line="240" w:lineRule="auto"/>
      </w:pPr>
      <w:r>
        <w:separator/>
      </w:r>
    </w:p>
  </w:footnote>
  <w:footnote w:type="continuationSeparator" w:id="0">
    <w:p w:rsidR="000812D3" w:rsidRDefault="000812D3" w:rsidP="0032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8FE" w:rsidRPr="00627C94" w:rsidRDefault="002848FE" w:rsidP="002848FE">
    <w:pPr>
      <w:pStyle w:val="Heading1"/>
    </w:pPr>
    <w:r w:rsidRPr="00627C94">
      <w:t>Traumatic Brain Injury (TBI) Common Data Element (CDE)</w:t>
    </w:r>
  </w:p>
  <w:p w:rsidR="002848FE" w:rsidRPr="00627C94" w:rsidRDefault="002848FE" w:rsidP="002848FE">
    <w:pPr>
      <w:pStyle w:val="Heading1"/>
    </w:pPr>
    <w:r w:rsidRPr="00627C94">
      <w:t>Outcome Measure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DA4"/>
    <w:multiLevelType w:val="multilevel"/>
    <w:tmpl w:val="BB985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66F90"/>
    <w:multiLevelType w:val="hybridMultilevel"/>
    <w:tmpl w:val="DF4E37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56050"/>
    <w:multiLevelType w:val="hybridMultilevel"/>
    <w:tmpl w:val="8E7A6F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05A35"/>
    <w:multiLevelType w:val="hybridMultilevel"/>
    <w:tmpl w:val="3A40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14476"/>
    <w:multiLevelType w:val="hybridMultilevel"/>
    <w:tmpl w:val="3362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71130"/>
    <w:multiLevelType w:val="hybridMultilevel"/>
    <w:tmpl w:val="B5ECD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47F50"/>
    <w:multiLevelType w:val="hybridMultilevel"/>
    <w:tmpl w:val="CFC8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72F35"/>
    <w:multiLevelType w:val="hybridMultilevel"/>
    <w:tmpl w:val="66A2E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C399C"/>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F43A2"/>
    <w:multiLevelType w:val="hybridMultilevel"/>
    <w:tmpl w:val="F052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E72F7"/>
    <w:multiLevelType w:val="hybridMultilevel"/>
    <w:tmpl w:val="E55A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E14FD"/>
    <w:multiLevelType w:val="hybridMultilevel"/>
    <w:tmpl w:val="5A24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75009"/>
    <w:multiLevelType w:val="hybridMultilevel"/>
    <w:tmpl w:val="BE80D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A3445"/>
    <w:multiLevelType w:val="hybridMultilevel"/>
    <w:tmpl w:val="3B28B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A3F97"/>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A570C"/>
    <w:multiLevelType w:val="hybridMultilevel"/>
    <w:tmpl w:val="3376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420597"/>
    <w:multiLevelType w:val="hybridMultilevel"/>
    <w:tmpl w:val="9D78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61673F"/>
    <w:multiLevelType w:val="hybridMultilevel"/>
    <w:tmpl w:val="5A4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25C5A"/>
    <w:multiLevelType w:val="hybridMultilevel"/>
    <w:tmpl w:val="44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4F18D2"/>
    <w:multiLevelType w:val="multilevel"/>
    <w:tmpl w:val="AB0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802AC9"/>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071306"/>
    <w:multiLevelType w:val="hybridMultilevel"/>
    <w:tmpl w:val="CEE60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C02253"/>
    <w:multiLevelType w:val="hybridMultilevel"/>
    <w:tmpl w:val="97006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396B9A"/>
    <w:multiLevelType w:val="hybridMultilevel"/>
    <w:tmpl w:val="898C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A5272"/>
    <w:multiLevelType w:val="hybridMultilevel"/>
    <w:tmpl w:val="DF4E37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010DBF"/>
    <w:multiLevelType w:val="hybridMultilevel"/>
    <w:tmpl w:val="1B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747C42"/>
    <w:multiLevelType w:val="hybridMultilevel"/>
    <w:tmpl w:val="761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561820"/>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7205FB"/>
    <w:multiLevelType w:val="hybridMultilevel"/>
    <w:tmpl w:val="AA7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626405"/>
    <w:multiLevelType w:val="hybridMultilevel"/>
    <w:tmpl w:val="5D981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4541D6"/>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97341B"/>
    <w:multiLevelType w:val="hybridMultilevel"/>
    <w:tmpl w:val="C596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9D6B2B"/>
    <w:multiLevelType w:val="multilevel"/>
    <w:tmpl w:val="1BC6F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B85BE9"/>
    <w:multiLevelType w:val="hybridMultilevel"/>
    <w:tmpl w:val="73CA9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32"/>
  </w:num>
  <w:num w:numId="4">
    <w:abstractNumId w:val="15"/>
  </w:num>
  <w:num w:numId="5">
    <w:abstractNumId w:val="30"/>
  </w:num>
  <w:num w:numId="6">
    <w:abstractNumId w:val="24"/>
  </w:num>
  <w:num w:numId="7">
    <w:abstractNumId w:val="27"/>
  </w:num>
  <w:num w:numId="8">
    <w:abstractNumId w:val="14"/>
  </w:num>
  <w:num w:numId="9">
    <w:abstractNumId w:val="20"/>
  </w:num>
  <w:num w:numId="10">
    <w:abstractNumId w:val="28"/>
  </w:num>
  <w:num w:numId="11">
    <w:abstractNumId w:val="17"/>
  </w:num>
  <w:num w:numId="12">
    <w:abstractNumId w:val="3"/>
  </w:num>
  <w:num w:numId="13">
    <w:abstractNumId w:val="5"/>
  </w:num>
  <w:num w:numId="14">
    <w:abstractNumId w:val="18"/>
  </w:num>
  <w:num w:numId="15">
    <w:abstractNumId w:val="25"/>
  </w:num>
  <w:num w:numId="16">
    <w:abstractNumId w:val="16"/>
  </w:num>
  <w:num w:numId="17">
    <w:abstractNumId w:val="31"/>
  </w:num>
  <w:num w:numId="18">
    <w:abstractNumId w:val="33"/>
  </w:num>
  <w:num w:numId="19">
    <w:abstractNumId w:val="22"/>
  </w:num>
  <w:num w:numId="20">
    <w:abstractNumId w:val="4"/>
  </w:num>
  <w:num w:numId="21">
    <w:abstractNumId w:val="11"/>
  </w:num>
  <w:num w:numId="22">
    <w:abstractNumId w:val="6"/>
  </w:num>
  <w:num w:numId="23">
    <w:abstractNumId w:val="9"/>
  </w:num>
  <w:num w:numId="24">
    <w:abstractNumId w:val="10"/>
  </w:num>
  <w:num w:numId="25">
    <w:abstractNumId w:val="26"/>
  </w:num>
  <w:num w:numId="26">
    <w:abstractNumId w:val="23"/>
  </w:num>
  <w:num w:numId="27">
    <w:abstractNumId w:val="8"/>
  </w:num>
  <w:num w:numId="28">
    <w:abstractNumId w:val="12"/>
  </w:num>
  <w:num w:numId="29">
    <w:abstractNumId w:val="7"/>
  </w:num>
  <w:num w:numId="30">
    <w:abstractNumId w:val="2"/>
  </w:num>
  <w:num w:numId="31">
    <w:abstractNumId w:val="13"/>
  </w:num>
  <w:num w:numId="32">
    <w:abstractNumId w:val="21"/>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DF"/>
    <w:rsid w:val="00002315"/>
    <w:rsid w:val="00005423"/>
    <w:rsid w:val="000166F1"/>
    <w:rsid w:val="00036648"/>
    <w:rsid w:val="00067485"/>
    <w:rsid w:val="000812D3"/>
    <w:rsid w:val="000923C6"/>
    <w:rsid w:val="000A4E61"/>
    <w:rsid w:val="000B5AD0"/>
    <w:rsid w:val="000C103F"/>
    <w:rsid w:val="000C677D"/>
    <w:rsid w:val="000E4D62"/>
    <w:rsid w:val="00105870"/>
    <w:rsid w:val="00125660"/>
    <w:rsid w:val="00133519"/>
    <w:rsid w:val="00137957"/>
    <w:rsid w:val="00151EE1"/>
    <w:rsid w:val="001637BE"/>
    <w:rsid w:val="00186303"/>
    <w:rsid w:val="00186B84"/>
    <w:rsid w:val="00196D4E"/>
    <w:rsid w:val="001A1472"/>
    <w:rsid w:val="001B190F"/>
    <w:rsid w:val="001C3A62"/>
    <w:rsid w:val="001C7011"/>
    <w:rsid w:val="001D4F0B"/>
    <w:rsid w:val="00201DB9"/>
    <w:rsid w:val="0022540E"/>
    <w:rsid w:val="0023143B"/>
    <w:rsid w:val="00247C3A"/>
    <w:rsid w:val="00257409"/>
    <w:rsid w:val="0026399F"/>
    <w:rsid w:val="0026667A"/>
    <w:rsid w:val="00272AF0"/>
    <w:rsid w:val="002772D0"/>
    <w:rsid w:val="00283B0C"/>
    <w:rsid w:val="002848FE"/>
    <w:rsid w:val="002A6C4B"/>
    <w:rsid w:val="002A76D8"/>
    <w:rsid w:val="002B2DCC"/>
    <w:rsid w:val="002E0240"/>
    <w:rsid w:val="002F045A"/>
    <w:rsid w:val="003017B7"/>
    <w:rsid w:val="003256BA"/>
    <w:rsid w:val="00331FE7"/>
    <w:rsid w:val="00362150"/>
    <w:rsid w:val="003632F5"/>
    <w:rsid w:val="0038142D"/>
    <w:rsid w:val="00390AFC"/>
    <w:rsid w:val="00397664"/>
    <w:rsid w:val="003A10E2"/>
    <w:rsid w:val="003A684C"/>
    <w:rsid w:val="003A71F0"/>
    <w:rsid w:val="003C1198"/>
    <w:rsid w:val="003C5959"/>
    <w:rsid w:val="003D1229"/>
    <w:rsid w:val="003D1E85"/>
    <w:rsid w:val="003F48E0"/>
    <w:rsid w:val="00406433"/>
    <w:rsid w:val="00407ED8"/>
    <w:rsid w:val="00412771"/>
    <w:rsid w:val="00416C28"/>
    <w:rsid w:val="00425DCE"/>
    <w:rsid w:val="00431050"/>
    <w:rsid w:val="00436F2C"/>
    <w:rsid w:val="0044079C"/>
    <w:rsid w:val="00440B65"/>
    <w:rsid w:val="00446D34"/>
    <w:rsid w:val="00451F71"/>
    <w:rsid w:val="00472EB4"/>
    <w:rsid w:val="004A1A0B"/>
    <w:rsid w:val="004A6DFA"/>
    <w:rsid w:val="004A7991"/>
    <w:rsid w:val="004B766F"/>
    <w:rsid w:val="004E289F"/>
    <w:rsid w:val="004E73A8"/>
    <w:rsid w:val="00535F1B"/>
    <w:rsid w:val="00552A1A"/>
    <w:rsid w:val="00556769"/>
    <w:rsid w:val="0057055B"/>
    <w:rsid w:val="00571C71"/>
    <w:rsid w:val="00575537"/>
    <w:rsid w:val="00577465"/>
    <w:rsid w:val="005779AF"/>
    <w:rsid w:val="00595C38"/>
    <w:rsid w:val="00597B14"/>
    <w:rsid w:val="005A0503"/>
    <w:rsid w:val="005A7A94"/>
    <w:rsid w:val="005B633A"/>
    <w:rsid w:val="005D1371"/>
    <w:rsid w:val="005D3954"/>
    <w:rsid w:val="005E172F"/>
    <w:rsid w:val="005F2C7C"/>
    <w:rsid w:val="005F4802"/>
    <w:rsid w:val="0061104A"/>
    <w:rsid w:val="006126F3"/>
    <w:rsid w:val="00627C94"/>
    <w:rsid w:val="00641332"/>
    <w:rsid w:val="0064276E"/>
    <w:rsid w:val="0064331A"/>
    <w:rsid w:val="00656917"/>
    <w:rsid w:val="00666D10"/>
    <w:rsid w:val="00695255"/>
    <w:rsid w:val="006A6ED8"/>
    <w:rsid w:val="006B58A1"/>
    <w:rsid w:val="006D24E0"/>
    <w:rsid w:val="006F24CB"/>
    <w:rsid w:val="006F327D"/>
    <w:rsid w:val="006F58D1"/>
    <w:rsid w:val="0071546B"/>
    <w:rsid w:val="00715490"/>
    <w:rsid w:val="00715E1B"/>
    <w:rsid w:val="0073451E"/>
    <w:rsid w:val="00747374"/>
    <w:rsid w:val="00747B7F"/>
    <w:rsid w:val="007521D1"/>
    <w:rsid w:val="00757EB8"/>
    <w:rsid w:val="00761F5E"/>
    <w:rsid w:val="007773AA"/>
    <w:rsid w:val="00792F14"/>
    <w:rsid w:val="0079543B"/>
    <w:rsid w:val="007A1862"/>
    <w:rsid w:val="007A76D2"/>
    <w:rsid w:val="007D36DF"/>
    <w:rsid w:val="007E74BE"/>
    <w:rsid w:val="007F78AA"/>
    <w:rsid w:val="00802179"/>
    <w:rsid w:val="008122AB"/>
    <w:rsid w:val="0082143F"/>
    <w:rsid w:val="0083461E"/>
    <w:rsid w:val="00837790"/>
    <w:rsid w:val="008421A0"/>
    <w:rsid w:val="00844D73"/>
    <w:rsid w:val="008517B1"/>
    <w:rsid w:val="00865F08"/>
    <w:rsid w:val="008711D5"/>
    <w:rsid w:val="00872036"/>
    <w:rsid w:val="008835F6"/>
    <w:rsid w:val="00892BFF"/>
    <w:rsid w:val="0089414D"/>
    <w:rsid w:val="00894E5C"/>
    <w:rsid w:val="00896C1C"/>
    <w:rsid w:val="00897A76"/>
    <w:rsid w:val="008D53AA"/>
    <w:rsid w:val="008E024A"/>
    <w:rsid w:val="008F3218"/>
    <w:rsid w:val="008F563C"/>
    <w:rsid w:val="00912BC7"/>
    <w:rsid w:val="00915661"/>
    <w:rsid w:val="00920F5A"/>
    <w:rsid w:val="0095430C"/>
    <w:rsid w:val="00957C3D"/>
    <w:rsid w:val="009877E3"/>
    <w:rsid w:val="00994F6F"/>
    <w:rsid w:val="009D6578"/>
    <w:rsid w:val="009E2D7C"/>
    <w:rsid w:val="009E4116"/>
    <w:rsid w:val="009F3D95"/>
    <w:rsid w:val="00A01395"/>
    <w:rsid w:val="00A113F5"/>
    <w:rsid w:val="00A342B0"/>
    <w:rsid w:val="00A354C6"/>
    <w:rsid w:val="00A43D8E"/>
    <w:rsid w:val="00A50916"/>
    <w:rsid w:val="00A668FE"/>
    <w:rsid w:val="00A66D67"/>
    <w:rsid w:val="00A74FFA"/>
    <w:rsid w:val="00A771A0"/>
    <w:rsid w:val="00A77ED9"/>
    <w:rsid w:val="00A91A68"/>
    <w:rsid w:val="00A942DF"/>
    <w:rsid w:val="00AC68C0"/>
    <w:rsid w:val="00AD42B7"/>
    <w:rsid w:val="00AE19BF"/>
    <w:rsid w:val="00AF27C5"/>
    <w:rsid w:val="00B146A6"/>
    <w:rsid w:val="00B33EFA"/>
    <w:rsid w:val="00B34FCC"/>
    <w:rsid w:val="00B35A36"/>
    <w:rsid w:val="00B37CE3"/>
    <w:rsid w:val="00B50270"/>
    <w:rsid w:val="00B55883"/>
    <w:rsid w:val="00B71CE2"/>
    <w:rsid w:val="00B74F2C"/>
    <w:rsid w:val="00B808CD"/>
    <w:rsid w:val="00B840F4"/>
    <w:rsid w:val="00B92FE1"/>
    <w:rsid w:val="00BA177D"/>
    <w:rsid w:val="00BB167B"/>
    <w:rsid w:val="00BC0A6F"/>
    <w:rsid w:val="00BC0E9E"/>
    <w:rsid w:val="00BC18E1"/>
    <w:rsid w:val="00BD7D4C"/>
    <w:rsid w:val="00BE295B"/>
    <w:rsid w:val="00C02CD4"/>
    <w:rsid w:val="00C1442F"/>
    <w:rsid w:val="00C638D1"/>
    <w:rsid w:val="00C657EB"/>
    <w:rsid w:val="00C6740D"/>
    <w:rsid w:val="00C80913"/>
    <w:rsid w:val="00C83AC8"/>
    <w:rsid w:val="00C926B3"/>
    <w:rsid w:val="00C945E2"/>
    <w:rsid w:val="00CB12C2"/>
    <w:rsid w:val="00CD5942"/>
    <w:rsid w:val="00CE6A31"/>
    <w:rsid w:val="00CF3C01"/>
    <w:rsid w:val="00D44C4D"/>
    <w:rsid w:val="00D468A6"/>
    <w:rsid w:val="00D61192"/>
    <w:rsid w:val="00D61BB6"/>
    <w:rsid w:val="00D70F44"/>
    <w:rsid w:val="00D84A13"/>
    <w:rsid w:val="00D942BF"/>
    <w:rsid w:val="00DD6C49"/>
    <w:rsid w:val="00DE235A"/>
    <w:rsid w:val="00E0090D"/>
    <w:rsid w:val="00E1576A"/>
    <w:rsid w:val="00E20EB1"/>
    <w:rsid w:val="00E24D82"/>
    <w:rsid w:val="00E41FF2"/>
    <w:rsid w:val="00E51D1C"/>
    <w:rsid w:val="00E53B4C"/>
    <w:rsid w:val="00E712E2"/>
    <w:rsid w:val="00E85E53"/>
    <w:rsid w:val="00EB5061"/>
    <w:rsid w:val="00ED2662"/>
    <w:rsid w:val="00EF4835"/>
    <w:rsid w:val="00F173F8"/>
    <w:rsid w:val="00F17B5E"/>
    <w:rsid w:val="00F22CE7"/>
    <w:rsid w:val="00F407D7"/>
    <w:rsid w:val="00F517A6"/>
    <w:rsid w:val="00F858AE"/>
    <w:rsid w:val="00FA6A1A"/>
    <w:rsid w:val="00FB29AD"/>
    <w:rsid w:val="00FC3DFE"/>
    <w:rsid w:val="00FD2B2F"/>
    <w:rsid w:val="00FD6879"/>
    <w:rsid w:val="00FE1FF0"/>
    <w:rsid w:val="00FE5182"/>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3F25C06-BD80-4D7B-8AF4-2F3713EA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70"/>
    <w:pPr>
      <w:spacing w:after="200" w:line="276" w:lineRule="auto"/>
    </w:pPr>
    <w:rPr>
      <w:sz w:val="22"/>
      <w:szCs w:val="22"/>
    </w:rPr>
  </w:style>
  <w:style w:type="paragraph" w:styleId="Heading1">
    <w:name w:val="heading 1"/>
    <w:basedOn w:val="Normal"/>
    <w:next w:val="Normal"/>
    <w:link w:val="Heading1Char"/>
    <w:uiPriority w:val="9"/>
    <w:qFormat/>
    <w:rsid w:val="00627C94"/>
    <w:pPr>
      <w:spacing w:after="0"/>
      <w:jc w:val="center"/>
      <w:outlineLvl w:val="0"/>
    </w:pPr>
    <w:rPr>
      <w:rFonts w:cs="Calibri"/>
      <w:b/>
      <w:sz w:val="28"/>
      <w:szCs w:val="28"/>
    </w:rPr>
  </w:style>
  <w:style w:type="paragraph" w:styleId="Heading2">
    <w:name w:val="heading 2"/>
    <w:basedOn w:val="Normal"/>
    <w:next w:val="Normal"/>
    <w:link w:val="Heading2Char"/>
    <w:uiPriority w:val="9"/>
    <w:unhideWhenUsed/>
    <w:qFormat/>
    <w:rsid w:val="00627C94"/>
    <w:pPr>
      <w:outlineLvl w:val="1"/>
    </w:pPr>
    <w:rPr>
      <w:rFonts w:cs="Calibri"/>
      <w:b/>
      <w:sz w:val="24"/>
    </w:rPr>
  </w:style>
  <w:style w:type="paragraph" w:styleId="Heading3">
    <w:name w:val="heading 3"/>
    <w:basedOn w:val="Normal"/>
    <w:next w:val="Default"/>
    <w:link w:val="Heading3Char"/>
    <w:uiPriority w:val="99"/>
    <w:qFormat/>
    <w:rsid w:val="00627C94"/>
    <w:pPr>
      <w:outlineLvl w:val="2"/>
    </w:pPr>
    <w:rPr>
      <w:rFonts w:cs="Calibri"/>
      <w:b/>
    </w:rPr>
  </w:style>
  <w:style w:type="paragraph" w:styleId="Heading4">
    <w:name w:val="heading 4"/>
    <w:basedOn w:val="Normal"/>
    <w:next w:val="Normal"/>
    <w:link w:val="Heading4Char"/>
    <w:uiPriority w:val="9"/>
    <w:unhideWhenUsed/>
    <w:qFormat/>
    <w:rsid w:val="0022540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73451E"/>
  </w:style>
  <w:style w:type="paragraph" w:customStyle="1" w:styleId="Default">
    <w:name w:val="Default"/>
    <w:rsid w:val="002B2DCC"/>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uiPriority w:val="99"/>
    <w:rsid w:val="00627C94"/>
    <w:rPr>
      <w:rFonts w:cs="Calibri"/>
      <w:b/>
      <w:sz w:val="22"/>
      <w:szCs w:val="22"/>
    </w:rPr>
  </w:style>
  <w:style w:type="character" w:styleId="Strong">
    <w:name w:val="Strong"/>
    <w:uiPriority w:val="22"/>
    <w:qFormat/>
    <w:rsid w:val="002B2DCC"/>
    <w:rPr>
      <w:b/>
      <w:bCs/>
    </w:rPr>
  </w:style>
  <w:style w:type="character" w:styleId="Hyperlink">
    <w:name w:val="Hyperlink"/>
    <w:uiPriority w:val="99"/>
    <w:unhideWhenUsed/>
    <w:rsid w:val="00A668FE"/>
    <w:rPr>
      <w:strike w:val="0"/>
      <w:dstrike w:val="0"/>
      <w:color w:val="0000FF"/>
      <w:u w:val="single"/>
      <w:effect w:val="none"/>
    </w:rPr>
  </w:style>
  <w:style w:type="character" w:customStyle="1" w:styleId="ncitalic1">
    <w:name w:val="ncitalic1"/>
    <w:rsid w:val="00A668FE"/>
    <w:rPr>
      <w:i/>
      <w:iCs/>
      <w:color w:val="000000"/>
    </w:rPr>
  </w:style>
  <w:style w:type="character" w:customStyle="1" w:styleId="meta">
    <w:name w:val="meta"/>
    <w:basedOn w:val="DefaultParagraphFont"/>
    <w:rsid w:val="00AD42B7"/>
  </w:style>
  <w:style w:type="character" w:styleId="FollowedHyperlink">
    <w:name w:val="FollowedHyperlink"/>
    <w:uiPriority w:val="99"/>
    <w:semiHidden/>
    <w:unhideWhenUsed/>
    <w:rsid w:val="006F58D1"/>
    <w:rPr>
      <w:color w:val="800080"/>
      <w:u w:val="single"/>
    </w:rPr>
  </w:style>
  <w:style w:type="character" w:customStyle="1" w:styleId="dnnalignleft">
    <w:name w:val="dnnalignleft"/>
    <w:basedOn w:val="DefaultParagraphFont"/>
    <w:rsid w:val="006F58D1"/>
  </w:style>
  <w:style w:type="character" w:customStyle="1" w:styleId="Heading4Char">
    <w:name w:val="Heading 4 Char"/>
    <w:link w:val="Heading4"/>
    <w:uiPriority w:val="9"/>
    <w:rsid w:val="0022540E"/>
    <w:rPr>
      <w:rFonts w:ascii="Calibri" w:eastAsia="Times New Roman" w:hAnsi="Calibri" w:cs="Times New Roman"/>
      <w:b/>
      <w:bCs/>
      <w:sz w:val="28"/>
      <w:szCs w:val="28"/>
    </w:rPr>
  </w:style>
  <w:style w:type="character" w:customStyle="1" w:styleId="ej-j-source">
    <w:name w:val="ej-j-source"/>
    <w:basedOn w:val="DefaultParagraphFont"/>
    <w:rsid w:val="0022540E"/>
  </w:style>
  <w:style w:type="paragraph" w:styleId="NormalWeb">
    <w:name w:val="Normal (Web)"/>
    <w:basedOn w:val="Normal"/>
    <w:uiPriority w:val="99"/>
    <w:semiHidden/>
    <w:unhideWhenUsed/>
    <w:rsid w:val="00331FE7"/>
    <w:pPr>
      <w:spacing w:before="100" w:beforeAutospacing="1" w:after="100" w:afterAutospacing="1" w:line="240" w:lineRule="auto"/>
    </w:pPr>
    <w:rPr>
      <w:rFonts w:ascii="Times New Roman" w:eastAsia="Times New Roman" w:hAnsi="Times New Roman"/>
      <w:sz w:val="24"/>
      <w:szCs w:val="24"/>
    </w:rPr>
  </w:style>
  <w:style w:type="character" w:customStyle="1" w:styleId="citedby">
    <w:name w:val="citedby_"/>
    <w:rsid w:val="00331FE7"/>
    <w:rPr>
      <w:sz w:val="24"/>
      <w:szCs w:val="24"/>
      <w:bdr w:val="none" w:sz="0" w:space="0" w:color="auto" w:frame="1"/>
      <w:vertAlign w:val="baseline"/>
    </w:rPr>
  </w:style>
  <w:style w:type="character" w:styleId="CommentReference">
    <w:name w:val="annotation reference"/>
    <w:uiPriority w:val="99"/>
    <w:semiHidden/>
    <w:unhideWhenUsed/>
    <w:rsid w:val="00D468A6"/>
    <w:rPr>
      <w:sz w:val="16"/>
      <w:szCs w:val="16"/>
    </w:rPr>
  </w:style>
  <w:style w:type="paragraph" w:styleId="CommentText">
    <w:name w:val="annotation text"/>
    <w:basedOn w:val="Normal"/>
    <w:link w:val="CommentTextChar"/>
    <w:uiPriority w:val="99"/>
    <w:semiHidden/>
    <w:unhideWhenUsed/>
    <w:rsid w:val="00D468A6"/>
    <w:rPr>
      <w:sz w:val="20"/>
      <w:szCs w:val="20"/>
    </w:rPr>
  </w:style>
  <w:style w:type="character" w:customStyle="1" w:styleId="CommentTextChar">
    <w:name w:val="Comment Text Char"/>
    <w:basedOn w:val="DefaultParagraphFont"/>
    <w:link w:val="CommentText"/>
    <w:uiPriority w:val="99"/>
    <w:semiHidden/>
    <w:rsid w:val="00D468A6"/>
  </w:style>
  <w:style w:type="paragraph" w:styleId="CommentSubject">
    <w:name w:val="annotation subject"/>
    <w:basedOn w:val="CommentText"/>
    <w:next w:val="CommentText"/>
    <w:link w:val="CommentSubjectChar"/>
    <w:uiPriority w:val="99"/>
    <w:semiHidden/>
    <w:unhideWhenUsed/>
    <w:rsid w:val="00D468A6"/>
    <w:rPr>
      <w:b/>
      <w:bCs/>
    </w:rPr>
  </w:style>
  <w:style w:type="character" w:customStyle="1" w:styleId="CommentSubjectChar">
    <w:name w:val="Comment Subject Char"/>
    <w:link w:val="CommentSubject"/>
    <w:uiPriority w:val="99"/>
    <w:semiHidden/>
    <w:rsid w:val="00D468A6"/>
    <w:rPr>
      <w:b/>
      <w:bCs/>
    </w:rPr>
  </w:style>
  <w:style w:type="paragraph" w:styleId="BalloonText">
    <w:name w:val="Balloon Text"/>
    <w:basedOn w:val="Normal"/>
    <w:link w:val="BalloonTextChar"/>
    <w:uiPriority w:val="99"/>
    <w:semiHidden/>
    <w:unhideWhenUsed/>
    <w:rsid w:val="00D468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8A6"/>
    <w:rPr>
      <w:rFonts w:ascii="Tahoma" w:hAnsi="Tahoma" w:cs="Tahoma"/>
      <w:sz w:val="16"/>
      <w:szCs w:val="16"/>
    </w:rPr>
  </w:style>
  <w:style w:type="paragraph" w:styleId="Header">
    <w:name w:val="header"/>
    <w:basedOn w:val="Normal"/>
    <w:link w:val="HeaderChar"/>
    <w:uiPriority w:val="99"/>
    <w:unhideWhenUsed/>
    <w:rsid w:val="003256BA"/>
    <w:pPr>
      <w:tabs>
        <w:tab w:val="center" w:pos="4680"/>
        <w:tab w:val="right" w:pos="9360"/>
      </w:tabs>
    </w:pPr>
  </w:style>
  <w:style w:type="character" w:customStyle="1" w:styleId="HeaderChar">
    <w:name w:val="Header Char"/>
    <w:link w:val="Header"/>
    <w:uiPriority w:val="99"/>
    <w:rsid w:val="003256BA"/>
    <w:rPr>
      <w:sz w:val="22"/>
      <w:szCs w:val="22"/>
    </w:rPr>
  </w:style>
  <w:style w:type="paragraph" w:styleId="Footer">
    <w:name w:val="footer"/>
    <w:basedOn w:val="Normal"/>
    <w:link w:val="FooterChar"/>
    <w:uiPriority w:val="99"/>
    <w:unhideWhenUsed/>
    <w:rsid w:val="003256BA"/>
    <w:pPr>
      <w:tabs>
        <w:tab w:val="center" w:pos="4680"/>
        <w:tab w:val="right" w:pos="9360"/>
      </w:tabs>
    </w:pPr>
  </w:style>
  <w:style w:type="character" w:customStyle="1" w:styleId="FooterChar">
    <w:name w:val="Footer Char"/>
    <w:link w:val="Footer"/>
    <w:uiPriority w:val="99"/>
    <w:rsid w:val="003256BA"/>
    <w:rPr>
      <w:sz w:val="22"/>
      <w:szCs w:val="22"/>
    </w:rPr>
  </w:style>
  <w:style w:type="paragraph" w:styleId="ListParagraph">
    <w:name w:val="List Paragraph"/>
    <w:basedOn w:val="Normal"/>
    <w:uiPriority w:val="34"/>
    <w:qFormat/>
    <w:rsid w:val="00FD6879"/>
    <w:pPr>
      <w:ind w:left="720"/>
    </w:pPr>
  </w:style>
  <w:style w:type="character" w:customStyle="1" w:styleId="Heading1Char">
    <w:name w:val="Heading 1 Char"/>
    <w:link w:val="Heading1"/>
    <w:uiPriority w:val="9"/>
    <w:rsid w:val="00627C94"/>
    <w:rPr>
      <w:rFonts w:cs="Calibri"/>
      <w:b/>
      <w:sz w:val="28"/>
      <w:szCs w:val="28"/>
    </w:rPr>
  </w:style>
  <w:style w:type="character" w:customStyle="1" w:styleId="Heading2Char">
    <w:name w:val="Heading 2 Char"/>
    <w:link w:val="Heading2"/>
    <w:uiPriority w:val="9"/>
    <w:rsid w:val="00627C94"/>
    <w:rPr>
      <w:rFonts w:cs="Calibri"/>
      <w:b/>
      <w:sz w:val="24"/>
      <w:szCs w:val="22"/>
    </w:rPr>
  </w:style>
  <w:style w:type="paragraph" w:styleId="Caption">
    <w:name w:val="caption"/>
    <w:basedOn w:val="Normal"/>
    <w:next w:val="Normal"/>
    <w:uiPriority w:val="35"/>
    <w:unhideWhenUsed/>
    <w:qFormat/>
    <w:rsid w:val="00627C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405961282">
      <w:bodyDiv w:val="1"/>
      <w:marLeft w:val="0"/>
      <w:marRight w:val="0"/>
      <w:marTop w:val="0"/>
      <w:marBottom w:val="0"/>
      <w:divBdr>
        <w:top w:val="none" w:sz="0" w:space="0" w:color="auto"/>
        <w:left w:val="none" w:sz="0" w:space="0" w:color="auto"/>
        <w:bottom w:val="none" w:sz="0" w:space="0" w:color="auto"/>
        <w:right w:val="none" w:sz="0" w:space="0" w:color="auto"/>
      </w:divBdr>
      <w:divsChild>
        <w:div w:id="230510732">
          <w:marLeft w:val="1636"/>
          <w:marRight w:val="0"/>
          <w:marTop w:val="0"/>
          <w:marBottom w:val="0"/>
          <w:divBdr>
            <w:top w:val="single" w:sz="24" w:space="0" w:color="6C9D30"/>
            <w:left w:val="single" w:sz="2" w:space="0" w:color="2E2E2E"/>
            <w:bottom w:val="single" w:sz="2" w:space="0" w:color="2E2E2E"/>
            <w:right w:val="single" w:sz="2" w:space="0" w:color="2E2E2E"/>
          </w:divBdr>
          <w:divsChild>
            <w:div w:id="1537691390">
              <w:marLeft w:val="0"/>
              <w:marRight w:val="0"/>
              <w:marTop w:val="19"/>
              <w:marBottom w:val="0"/>
              <w:divBdr>
                <w:top w:val="none" w:sz="0" w:space="0" w:color="auto"/>
                <w:left w:val="none" w:sz="0" w:space="0" w:color="auto"/>
                <w:bottom w:val="none" w:sz="0" w:space="0" w:color="auto"/>
                <w:right w:val="none" w:sz="0" w:space="0" w:color="auto"/>
              </w:divBdr>
              <w:divsChild>
                <w:div w:id="518353820">
                  <w:marLeft w:val="0"/>
                  <w:marRight w:val="0"/>
                  <w:marTop w:val="0"/>
                  <w:marBottom w:val="0"/>
                  <w:divBdr>
                    <w:top w:val="none" w:sz="0" w:space="0" w:color="auto"/>
                    <w:left w:val="none" w:sz="0" w:space="0" w:color="auto"/>
                    <w:bottom w:val="none" w:sz="0" w:space="0" w:color="auto"/>
                    <w:right w:val="none" w:sz="0" w:space="0" w:color="auto"/>
                  </w:divBdr>
                  <w:divsChild>
                    <w:div w:id="1243637494">
                      <w:marLeft w:val="0"/>
                      <w:marRight w:val="0"/>
                      <w:marTop w:val="0"/>
                      <w:marBottom w:val="0"/>
                      <w:divBdr>
                        <w:top w:val="none" w:sz="0" w:space="0" w:color="auto"/>
                        <w:left w:val="none" w:sz="0" w:space="0" w:color="auto"/>
                        <w:bottom w:val="none" w:sz="0" w:space="0" w:color="auto"/>
                        <w:right w:val="none" w:sz="0" w:space="0" w:color="auto"/>
                      </w:divBdr>
                      <w:divsChild>
                        <w:div w:id="2049798781">
                          <w:marLeft w:val="0"/>
                          <w:marRight w:val="0"/>
                          <w:marTop w:val="0"/>
                          <w:marBottom w:val="0"/>
                          <w:divBdr>
                            <w:top w:val="none" w:sz="0" w:space="0" w:color="auto"/>
                            <w:left w:val="none" w:sz="0" w:space="0" w:color="auto"/>
                            <w:bottom w:val="none" w:sz="0" w:space="0" w:color="auto"/>
                            <w:right w:val="none" w:sz="0" w:space="0" w:color="auto"/>
                          </w:divBdr>
                          <w:divsChild>
                            <w:div w:id="1333027465">
                              <w:marLeft w:val="0"/>
                              <w:marRight w:val="0"/>
                              <w:marTop w:val="0"/>
                              <w:marBottom w:val="0"/>
                              <w:divBdr>
                                <w:top w:val="none" w:sz="0" w:space="0" w:color="auto"/>
                                <w:left w:val="none" w:sz="0" w:space="0" w:color="auto"/>
                                <w:bottom w:val="none" w:sz="0" w:space="0" w:color="auto"/>
                                <w:right w:val="none" w:sz="0" w:space="0" w:color="auto"/>
                              </w:divBdr>
                            </w:div>
                            <w:div w:id="1380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11063">
      <w:bodyDiv w:val="1"/>
      <w:marLeft w:val="0"/>
      <w:marRight w:val="0"/>
      <w:marTop w:val="0"/>
      <w:marBottom w:val="0"/>
      <w:divBdr>
        <w:top w:val="none" w:sz="0" w:space="0" w:color="auto"/>
        <w:left w:val="none" w:sz="0" w:space="0" w:color="auto"/>
        <w:bottom w:val="none" w:sz="0" w:space="0" w:color="auto"/>
        <w:right w:val="none" w:sz="0" w:space="0" w:color="auto"/>
      </w:divBdr>
    </w:div>
    <w:div w:id="584345412">
      <w:bodyDiv w:val="1"/>
      <w:marLeft w:val="0"/>
      <w:marRight w:val="0"/>
      <w:marTop w:val="0"/>
      <w:marBottom w:val="0"/>
      <w:divBdr>
        <w:top w:val="none" w:sz="0" w:space="0" w:color="auto"/>
        <w:left w:val="none" w:sz="0" w:space="0" w:color="auto"/>
        <w:bottom w:val="none" w:sz="0" w:space="0" w:color="auto"/>
        <w:right w:val="none" w:sz="0" w:space="0" w:color="auto"/>
      </w:divBdr>
      <w:divsChild>
        <w:div w:id="19205215">
          <w:marLeft w:val="1636"/>
          <w:marRight w:val="0"/>
          <w:marTop w:val="0"/>
          <w:marBottom w:val="0"/>
          <w:divBdr>
            <w:top w:val="single" w:sz="24" w:space="0" w:color="6C9D30"/>
            <w:left w:val="single" w:sz="2" w:space="0" w:color="2E2E2E"/>
            <w:bottom w:val="single" w:sz="2" w:space="0" w:color="2E2E2E"/>
            <w:right w:val="single" w:sz="2" w:space="0" w:color="2E2E2E"/>
          </w:divBdr>
          <w:divsChild>
            <w:div w:id="1700623852">
              <w:marLeft w:val="0"/>
              <w:marRight w:val="0"/>
              <w:marTop w:val="19"/>
              <w:marBottom w:val="0"/>
              <w:divBdr>
                <w:top w:val="none" w:sz="0" w:space="0" w:color="auto"/>
                <w:left w:val="none" w:sz="0" w:space="0" w:color="auto"/>
                <w:bottom w:val="none" w:sz="0" w:space="0" w:color="auto"/>
                <w:right w:val="none" w:sz="0" w:space="0" w:color="auto"/>
              </w:divBdr>
              <w:divsChild>
                <w:div w:id="255750852">
                  <w:marLeft w:val="0"/>
                  <w:marRight w:val="0"/>
                  <w:marTop w:val="0"/>
                  <w:marBottom w:val="0"/>
                  <w:divBdr>
                    <w:top w:val="none" w:sz="0" w:space="0" w:color="auto"/>
                    <w:left w:val="none" w:sz="0" w:space="0" w:color="auto"/>
                    <w:bottom w:val="none" w:sz="0" w:space="0" w:color="auto"/>
                    <w:right w:val="none" w:sz="0" w:space="0" w:color="auto"/>
                  </w:divBdr>
                  <w:divsChild>
                    <w:div w:id="2000841916">
                      <w:marLeft w:val="0"/>
                      <w:marRight w:val="0"/>
                      <w:marTop w:val="0"/>
                      <w:marBottom w:val="0"/>
                      <w:divBdr>
                        <w:top w:val="none" w:sz="0" w:space="0" w:color="auto"/>
                        <w:left w:val="none" w:sz="0" w:space="0" w:color="auto"/>
                        <w:bottom w:val="none" w:sz="0" w:space="0" w:color="auto"/>
                        <w:right w:val="none" w:sz="0" w:space="0" w:color="auto"/>
                      </w:divBdr>
                      <w:divsChild>
                        <w:div w:id="669603679">
                          <w:marLeft w:val="0"/>
                          <w:marRight w:val="0"/>
                          <w:marTop w:val="0"/>
                          <w:marBottom w:val="0"/>
                          <w:divBdr>
                            <w:top w:val="none" w:sz="0" w:space="0" w:color="auto"/>
                            <w:left w:val="none" w:sz="0" w:space="0" w:color="auto"/>
                            <w:bottom w:val="none" w:sz="0" w:space="0" w:color="auto"/>
                            <w:right w:val="none" w:sz="0" w:space="0" w:color="auto"/>
                          </w:divBdr>
                          <w:divsChild>
                            <w:div w:id="62487438">
                              <w:marLeft w:val="0"/>
                              <w:marRight w:val="0"/>
                              <w:marTop w:val="0"/>
                              <w:marBottom w:val="0"/>
                              <w:divBdr>
                                <w:top w:val="none" w:sz="0" w:space="0" w:color="auto"/>
                                <w:left w:val="none" w:sz="0" w:space="0" w:color="auto"/>
                                <w:bottom w:val="none" w:sz="0" w:space="0" w:color="auto"/>
                                <w:right w:val="none" w:sz="0" w:space="0" w:color="auto"/>
                              </w:divBdr>
                            </w:div>
                            <w:div w:id="555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14908">
      <w:bodyDiv w:val="1"/>
      <w:marLeft w:val="0"/>
      <w:marRight w:val="0"/>
      <w:marTop w:val="0"/>
      <w:marBottom w:val="0"/>
      <w:divBdr>
        <w:top w:val="none" w:sz="0" w:space="0" w:color="auto"/>
        <w:left w:val="none" w:sz="0" w:space="0" w:color="auto"/>
        <w:bottom w:val="none" w:sz="0" w:space="0" w:color="auto"/>
        <w:right w:val="none" w:sz="0" w:space="0" w:color="auto"/>
      </w:divBdr>
    </w:div>
    <w:div w:id="943001729">
      <w:bodyDiv w:val="1"/>
      <w:marLeft w:val="0"/>
      <w:marRight w:val="0"/>
      <w:marTop w:val="0"/>
      <w:marBottom w:val="0"/>
      <w:divBdr>
        <w:top w:val="none" w:sz="0" w:space="0" w:color="auto"/>
        <w:left w:val="none" w:sz="0" w:space="0" w:color="auto"/>
        <w:bottom w:val="none" w:sz="0" w:space="0" w:color="auto"/>
        <w:right w:val="none" w:sz="0" w:space="0" w:color="auto"/>
      </w:divBdr>
    </w:div>
    <w:div w:id="1208950437">
      <w:bodyDiv w:val="1"/>
      <w:marLeft w:val="0"/>
      <w:marRight w:val="0"/>
      <w:marTop w:val="0"/>
      <w:marBottom w:val="0"/>
      <w:divBdr>
        <w:top w:val="none" w:sz="0" w:space="0" w:color="auto"/>
        <w:left w:val="none" w:sz="0" w:space="0" w:color="auto"/>
        <w:bottom w:val="none" w:sz="0" w:space="0" w:color="auto"/>
        <w:right w:val="none" w:sz="0" w:space="0" w:color="auto"/>
      </w:divBdr>
    </w:div>
    <w:div w:id="1220242607">
      <w:bodyDiv w:val="1"/>
      <w:marLeft w:val="0"/>
      <w:marRight w:val="0"/>
      <w:marTop w:val="0"/>
      <w:marBottom w:val="0"/>
      <w:divBdr>
        <w:top w:val="none" w:sz="0" w:space="0" w:color="auto"/>
        <w:left w:val="none" w:sz="0" w:space="0" w:color="auto"/>
        <w:bottom w:val="none" w:sz="0" w:space="0" w:color="auto"/>
        <w:right w:val="none" w:sz="0" w:space="0" w:color="auto"/>
      </w:divBdr>
      <w:divsChild>
        <w:div w:id="306520565">
          <w:marLeft w:val="0"/>
          <w:marRight w:val="0"/>
          <w:marTop w:val="0"/>
          <w:marBottom w:val="0"/>
          <w:divBdr>
            <w:top w:val="none" w:sz="0" w:space="0" w:color="auto"/>
            <w:left w:val="none" w:sz="0" w:space="0" w:color="auto"/>
            <w:bottom w:val="none" w:sz="0" w:space="0" w:color="auto"/>
            <w:right w:val="none" w:sz="0" w:space="0" w:color="auto"/>
          </w:divBdr>
        </w:div>
      </w:divsChild>
    </w:div>
    <w:div w:id="1430852282">
      <w:bodyDiv w:val="1"/>
      <w:marLeft w:val="0"/>
      <w:marRight w:val="0"/>
      <w:marTop w:val="0"/>
      <w:marBottom w:val="0"/>
      <w:divBdr>
        <w:top w:val="none" w:sz="0" w:space="0" w:color="auto"/>
        <w:left w:val="none" w:sz="0" w:space="0" w:color="auto"/>
        <w:bottom w:val="none" w:sz="0" w:space="0" w:color="auto"/>
        <w:right w:val="none" w:sz="0" w:space="0" w:color="auto"/>
      </w:divBdr>
      <w:divsChild>
        <w:div w:id="945304658">
          <w:marLeft w:val="0"/>
          <w:marRight w:val="0"/>
          <w:marTop w:val="0"/>
          <w:marBottom w:val="0"/>
          <w:divBdr>
            <w:top w:val="none" w:sz="0" w:space="0" w:color="auto"/>
            <w:left w:val="none" w:sz="0" w:space="0" w:color="auto"/>
            <w:bottom w:val="none" w:sz="0" w:space="0" w:color="auto"/>
            <w:right w:val="none" w:sz="0" w:space="0" w:color="auto"/>
          </w:divBdr>
          <w:divsChild>
            <w:div w:id="1005323763">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374"/>
                  <w:divBdr>
                    <w:top w:val="none" w:sz="0" w:space="0" w:color="auto"/>
                    <w:left w:val="none" w:sz="0" w:space="0" w:color="auto"/>
                    <w:bottom w:val="single" w:sz="8" w:space="0" w:color="E0E0E0"/>
                    <w:right w:val="none" w:sz="0" w:space="0" w:color="auto"/>
                  </w:divBdr>
                  <w:divsChild>
                    <w:div w:id="1697266144">
                      <w:marLeft w:val="0"/>
                      <w:marRight w:val="0"/>
                      <w:marTop w:val="0"/>
                      <w:marBottom w:val="0"/>
                      <w:divBdr>
                        <w:top w:val="none" w:sz="0" w:space="0" w:color="auto"/>
                        <w:left w:val="none" w:sz="0" w:space="0" w:color="auto"/>
                        <w:bottom w:val="none" w:sz="0" w:space="0" w:color="auto"/>
                        <w:right w:val="none" w:sz="0" w:space="0" w:color="auto"/>
                      </w:divBdr>
                      <w:divsChild>
                        <w:div w:id="255789433">
                          <w:marLeft w:val="0"/>
                          <w:marRight w:val="0"/>
                          <w:marTop w:val="0"/>
                          <w:marBottom w:val="374"/>
                          <w:divBdr>
                            <w:top w:val="none" w:sz="0" w:space="0" w:color="auto"/>
                            <w:left w:val="none" w:sz="0" w:space="0" w:color="auto"/>
                            <w:bottom w:val="single" w:sz="12" w:space="0" w:color="EBEBEB"/>
                            <w:right w:val="none" w:sz="0" w:space="0" w:color="auto"/>
                          </w:divBdr>
                          <w:divsChild>
                            <w:div w:id="16716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9446">
      <w:bodyDiv w:val="1"/>
      <w:marLeft w:val="0"/>
      <w:marRight w:val="0"/>
      <w:marTop w:val="0"/>
      <w:marBottom w:val="0"/>
      <w:divBdr>
        <w:top w:val="none" w:sz="0" w:space="0" w:color="auto"/>
        <w:left w:val="none" w:sz="0" w:space="0" w:color="auto"/>
        <w:bottom w:val="none" w:sz="0" w:space="0" w:color="auto"/>
        <w:right w:val="none" w:sz="0" w:space="0" w:color="auto"/>
      </w:divBdr>
    </w:div>
    <w:div w:id="1557888155">
      <w:bodyDiv w:val="1"/>
      <w:marLeft w:val="0"/>
      <w:marRight w:val="0"/>
      <w:marTop w:val="0"/>
      <w:marBottom w:val="0"/>
      <w:divBdr>
        <w:top w:val="none" w:sz="0" w:space="0" w:color="auto"/>
        <w:left w:val="none" w:sz="0" w:space="0" w:color="auto"/>
        <w:bottom w:val="none" w:sz="0" w:space="0" w:color="auto"/>
        <w:right w:val="none" w:sz="0" w:space="0" w:color="auto"/>
      </w:divBdr>
      <w:divsChild>
        <w:div w:id="1954940304">
          <w:marLeft w:val="0"/>
          <w:marRight w:val="0"/>
          <w:marTop w:val="0"/>
          <w:marBottom w:val="0"/>
          <w:divBdr>
            <w:top w:val="none" w:sz="0" w:space="0" w:color="auto"/>
            <w:left w:val="none" w:sz="0" w:space="0" w:color="auto"/>
            <w:bottom w:val="none" w:sz="0" w:space="0" w:color="auto"/>
            <w:right w:val="none" w:sz="0" w:space="0" w:color="auto"/>
          </w:divBdr>
        </w:div>
      </w:divsChild>
    </w:div>
    <w:div w:id="1606690529">
      <w:bodyDiv w:val="1"/>
      <w:marLeft w:val="0"/>
      <w:marRight w:val="0"/>
      <w:marTop w:val="0"/>
      <w:marBottom w:val="0"/>
      <w:divBdr>
        <w:top w:val="none" w:sz="0" w:space="0" w:color="auto"/>
        <w:left w:val="none" w:sz="0" w:space="0" w:color="auto"/>
        <w:bottom w:val="none" w:sz="0" w:space="0" w:color="auto"/>
        <w:right w:val="none" w:sz="0" w:space="0" w:color="auto"/>
      </w:divBdr>
      <w:divsChild>
        <w:div w:id="1209368481">
          <w:marLeft w:val="1636"/>
          <w:marRight w:val="0"/>
          <w:marTop w:val="0"/>
          <w:marBottom w:val="0"/>
          <w:divBdr>
            <w:top w:val="single" w:sz="24" w:space="0" w:color="6C9D30"/>
            <w:left w:val="single" w:sz="2" w:space="0" w:color="2E2E2E"/>
            <w:bottom w:val="single" w:sz="2" w:space="0" w:color="2E2E2E"/>
            <w:right w:val="single" w:sz="2" w:space="0" w:color="2E2E2E"/>
          </w:divBdr>
          <w:divsChild>
            <w:div w:id="1454053736">
              <w:marLeft w:val="0"/>
              <w:marRight w:val="0"/>
              <w:marTop w:val="19"/>
              <w:marBottom w:val="0"/>
              <w:divBdr>
                <w:top w:val="none" w:sz="0" w:space="0" w:color="auto"/>
                <w:left w:val="none" w:sz="0" w:space="0" w:color="auto"/>
                <w:bottom w:val="none" w:sz="0" w:space="0" w:color="auto"/>
                <w:right w:val="none" w:sz="0" w:space="0" w:color="auto"/>
              </w:divBdr>
              <w:divsChild>
                <w:div w:id="1411271904">
                  <w:marLeft w:val="0"/>
                  <w:marRight w:val="0"/>
                  <w:marTop w:val="0"/>
                  <w:marBottom w:val="0"/>
                  <w:divBdr>
                    <w:top w:val="none" w:sz="0" w:space="0" w:color="auto"/>
                    <w:left w:val="none" w:sz="0" w:space="0" w:color="auto"/>
                    <w:bottom w:val="none" w:sz="0" w:space="0" w:color="auto"/>
                    <w:right w:val="none" w:sz="0" w:space="0" w:color="auto"/>
                  </w:divBdr>
                  <w:divsChild>
                    <w:div w:id="1667242411">
                      <w:marLeft w:val="0"/>
                      <w:marRight w:val="0"/>
                      <w:marTop w:val="0"/>
                      <w:marBottom w:val="0"/>
                      <w:divBdr>
                        <w:top w:val="none" w:sz="0" w:space="0" w:color="auto"/>
                        <w:left w:val="none" w:sz="0" w:space="0" w:color="auto"/>
                        <w:bottom w:val="none" w:sz="0" w:space="0" w:color="auto"/>
                        <w:right w:val="none" w:sz="0" w:space="0" w:color="auto"/>
                      </w:divBdr>
                      <w:divsChild>
                        <w:div w:id="1292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4829">
      <w:bodyDiv w:val="1"/>
      <w:marLeft w:val="0"/>
      <w:marRight w:val="0"/>
      <w:marTop w:val="0"/>
      <w:marBottom w:val="0"/>
      <w:divBdr>
        <w:top w:val="none" w:sz="0" w:space="0" w:color="auto"/>
        <w:left w:val="none" w:sz="0" w:space="0" w:color="auto"/>
        <w:bottom w:val="none" w:sz="0" w:space="0" w:color="auto"/>
        <w:right w:val="none" w:sz="0" w:space="0" w:color="auto"/>
      </w:divBdr>
    </w:div>
    <w:div w:id="1735008433">
      <w:bodyDiv w:val="1"/>
      <w:marLeft w:val="0"/>
      <w:marRight w:val="0"/>
      <w:marTop w:val="0"/>
      <w:marBottom w:val="0"/>
      <w:divBdr>
        <w:top w:val="none" w:sz="0" w:space="0" w:color="auto"/>
        <w:left w:val="none" w:sz="0" w:space="0" w:color="auto"/>
        <w:bottom w:val="none" w:sz="0" w:space="0" w:color="auto"/>
        <w:right w:val="none" w:sz="0" w:space="0" w:color="auto"/>
      </w:divBdr>
    </w:div>
    <w:div w:id="1806003851">
      <w:bodyDiv w:val="1"/>
      <w:marLeft w:val="0"/>
      <w:marRight w:val="0"/>
      <w:marTop w:val="0"/>
      <w:marBottom w:val="0"/>
      <w:divBdr>
        <w:top w:val="none" w:sz="0" w:space="0" w:color="auto"/>
        <w:left w:val="none" w:sz="0" w:space="0" w:color="auto"/>
        <w:bottom w:val="none" w:sz="0" w:space="0" w:color="auto"/>
        <w:right w:val="none" w:sz="0" w:space="0" w:color="auto"/>
      </w:divBdr>
      <w:divsChild>
        <w:div w:id="972173748">
          <w:marLeft w:val="0"/>
          <w:marRight w:val="0"/>
          <w:marTop w:val="0"/>
          <w:marBottom w:val="0"/>
          <w:divBdr>
            <w:top w:val="none" w:sz="0" w:space="0" w:color="auto"/>
            <w:left w:val="none" w:sz="0" w:space="0" w:color="auto"/>
            <w:bottom w:val="none" w:sz="0" w:space="0" w:color="auto"/>
            <w:right w:val="none" w:sz="0" w:space="0" w:color="auto"/>
          </w:divBdr>
          <w:divsChild>
            <w:div w:id="409163093">
              <w:marLeft w:val="0"/>
              <w:marRight w:val="0"/>
              <w:marTop w:val="0"/>
              <w:marBottom w:val="0"/>
              <w:divBdr>
                <w:top w:val="none" w:sz="0" w:space="0" w:color="auto"/>
                <w:left w:val="none" w:sz="0" w:space="0" w:color="auto"/>
                <w:bottom w:val="none" w:sz="0" w:space="0" w:color="auto"/>
                <w:right w:val="none" w:sz="0" w:space="0" w:color="auto"/>
              </w:divBdr>
              <w:divsChild>
                <w:div w:id="126510428">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sChild>
                        <w:div w:id="1405032129">
                          <w:marLeft w:val="0"/>
                          <w:marRight w:val="0"/>
                          <w:marTop w:val="0"/>
                          <w:marBottom w:val="0"/>
                          <w:divBdr>
                            <w:top w:val="none" w:sz="0" w:space="0" w:color="auto"/>
                            <w:left w:val="none" w:sz="0" w:space="0" w:color="auto"/>
                            <w:bottom w:val="none" w:sz="0" w:space="0" w:color="auto"/>
                            <w:right w:val="none" w:sz="0" w:space="0" w:color="auto"/>
                          </w:divBdr>
                          <w:divsChild>
                            <w:div w:id="6103341">
                              <w:marLeft w:val="0"/>
                              <w:marRight w:val="0"/>
                              <w:marTop w:val="0"/>
                              <w:marBottom w:val="0"/>
                              <w:divBdr>
                                <w:top w:val="none" w:sz="0" w:space="0" w:color="auto"/>
                                <w:left w:val="none" w:sz="0" w:space="0" w:color="auto"/>
                                <w:bottom w:val="none" w:sz="0" w:space="0" w:color="auto"/>
                                <w:right w:val="none" w:sz="0" w:space="0" w:color="auto"/>
                              </w:divBdr>
                              <w:divsChild>
                                <w:div w:id="2127849382">
                                  <w:marLeft w:val="0"/>
                                  <w:marRight w:val="0"/>
                                  <w:marTop w:val="0"/>
                                  <w:marBottom w:val="0"/>
                                  <w:divBdr>
                                    <w:top w:val="none" w:sz="0" w:space="0" w:color="auto"/>
                                    <w:left w:val="none" w:sz="0" w:space="0" w:color="auto"/>
                                    <w:bottom w:val="none" w:sz="0" w:space="0" w:color="auto"/>
                                    <w:right w:val="none" w:sz="0" w:space="0" w:color="auto"/>
                                  </w:divBdr>
                                  <w:divsChild>
                                    <w:div w:id="1664818441">
                                      <w:marLeft w:val="0"/>
                                      <w:marRight w:val="0"/>
                                      <w:marTop w:val="0"/>
                                      <w:marBottom w:val="0"/>
                                      <w:divBdr>
                                        <w:top w:val="none" w:sz="0" w:space="0" w:color="auto"/>
                                        <w:left w:val="none" w:sz="0" w:space="0" w:color="auto"/>
                                        <w:bottom w:val="none" w:sz="0" w:space="0" w:color="auto"/>
                                        <w:right w:val="none" w:sz="0" w:space="0" w:color="auto"/>
                                      </w:divBdr>
                                      <w:divsChild>
                                        <w:div w:id="1457677131">
                                          <w:marLeft w:val="0"/>
                                          <w:marRight w:val="0"/>
                                          <w:marTop w:val="0"/>
                                          <w:marBottom w:val="0"/>
                                          <w:divBdr>
                                            <w:top w:val="none" w:sz="0" w:space="0" w:color="auto"/>
                                            <w:left w:val="none" w:sz="0" w:space="0" w:color="auto"/>
                                            <w:bottom w:val="none" w:sz="0" w:space="0" w:color="auto"/>
                                            <w:right w:val="none" w:sz="0" w:space="0" w:color="auto"/>
                                          </w:divBdr>
                                          <w:divsChild>
                                            <w:div w:id="1478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989199">
      <w:bodyDiv w:val="1"/>
      <w:marLeft w:val="0"/>
      <w:marRight w:val="0"/>
      <w:marTop w:val="0"/>
      <w:marBottom w:val="0"/>
      <w:divBdr>
        <w:top w:val="none" w:sz="0" w:space="0" w:color="auto"/>
        <w:left w:val="none" w:sz="0" w:space="0" w:color="auto"/>
        <w:bottom w:val="none" w:sz="0" w:space="0" w:color="auto"/>
        <w:right w:val="none" w:sz="0" w:space="0" w:color="auto"/>
      </w:divBdr>
      <w:divsChild>
        <w:div w:id="405343386">
          <w:marLeft w:val="0"/>
          <w:marRight w:val="0"/>
          <w:marTop w:val="0"/>
          <w:marBottom w:val="0"/>
          <w:divBdr>
            <w:top w:val="none" w:sz="0" w:space="0" w:color="auto"/>
            <w:left w:val="none" w:sz="0" w:space="0" w:color="auto"/>
            <w:bottom w:val="none" w:sz="0" w:space="0" w:color="auto"/>
            <w:right w:val="none" w:sz="0" w:space="0" w:color="auto"/>
          </w:divBdr>
          <w:divsChild>
            <w:div w:id="1899895383">
              <w:marLeft w:val="0"/>
              <w:marRight w:val="0"/>
              <w:marTop w:val="0"/>
              <w:marBottom w:val="0"/>
              <w:divBdr>
                <w:top w:val="none" w:sz="0" w:space="0" w:color="auto"/>
                <w:left w:val="none" w:sz="0" w:space="0" w:color="auto"/>
                <w:bottom w:val="none" w:sz="0" w:space="0" w:color="auto"/>
                <w:right w:val="none" w:sz="0" w:space="0" w:color="auto"/>
              </w:divBdr>
              <w:divsChild>
                <w:div w:id="1683431346">
                  <w:marLeft w:val="0"/>
                  <w:marRight w:val="0"/>
                  <w:marTop w:val="0"/>
                  <w:marBottom w:val="0"/>
                  <w:divBdr>
                    <w:top w:val="none" w:sz="0" w:space="0" w:color="auto"/>
                    <w:left w:val="none" w:sz="0" w:space="0" w:color="auto"/>
                    <w:bottom w:val="none" w:sz="0" w:space="0" w:color="auto"/>
                    <w:right w:val="none" w:sz="0" w:space="0" w:color="auto"/>
                  </w:divBdr>
                  <w:divsChild>
                    <w:div w:id="708385393">
                      <w:marLeft w:val="0"/>
                      <w:marRight w:val="0"/>
                      <w:marTop w:val="75"/>
                      <w:marBottom w:val="150"/>
                      <w:divBdr>
                        <w:top w:val="none" w:sz="0" w:space="0" w:color="auto"/>
                        <w:left w:val="none" w:sz="0" w:space="0" w:color="auto"/>
                        <w:bottom w:val="none" w:sz="0" w:space="0" w:color="auto"/>
                        <w:right w:val="none" w:sz="0" w:space="0" w:color="auto"/>
                      </w:divBdr>
                      <w:divsChild>
                        <w:div w:id="1945919749">
                          <w:marLeft w:val="0"/>
                          <w:marRight w:val="0"/>
                          <w:marTop w:val="0"/>
                          <w:marBottom w:val="0"/>
                          <w:divBdr>
                            <w:top w:val="single" w:sz="2" w:space="0" w:color="CCCCCC"/>
                            <w:left w:val="single" w:sz="2" w:space="0" w:color="CCCCCC"/>
                            <w:bottom w:val="single" w:sz="2" w:space="0" w:color="CCCCCC"/>
                            <w:right w:val="single" w:sz="2" w:space="0" w:color="CCCCCC"/>
                          </w:divBdr>
                          <w:divsChild>
                            <w:div w:id="464081438">
                              <w:marLeft w:val="0"/>
                              <w:marRight w:val="0"/>
                              <w:marTop w:val="0"/>
                              <w:marBottom w:val="0"/>
                              <w:divBdr>
                                <w:top w:val="none" w:sz="0" w:space="0" w:color="auto"/>
                                <w:left w:val="none" w:sz="0" w:space="0" w:color="auto"/>
                                <w:bottom w:val="none" w:sz="0" w:space="0" w:color="auto"/>
                                <w:right w:val="none" w:sz="0" w:space="0" w:color="auto"/>
                              </w:divBdr>
                              <w:divsChild>
                                <w:div w:id="477116053">
                                  <w:marLeft w:val="0"/>
                                  <w:marRight w:val="0"/>
                                  <w:marTop w:val="0"/>
                                  <w:marBottom w:val="0"/>
                                  <w:divBdr>
                                    <w:top w:val="none" w:sz="0" w:space="0" w:color="auto"/>
                                    <w:left w:val="none" w:sz="0" w:space="0" w:color="auto"/>
                                    <w:bottom w:val="none" w:sz="0" w:space="0" w:color="auto"/>
                                    <w:right w:val="none" w:sz="0" w:space="0" w:color="auto"/>
                                  </w:divBdr>
                                  <w:divsChild>
                                    <w:div w:id="1640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sychcorp.pearsonassessments.com/HAIWEB/Cultures/en-us/Productdetail.htm?Pid=PAassrs&amp;Mode=summ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bindsc.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earsonassessments.com/HAIWEB/Cultures/en-us/Productdetail.htm?Pid=Vineland-II&amp;Mode=summary" TargetMode="External"/><Relationship Id="rId4" Type="http://schemas.openxmlformats.org/officeDocument/2006/relationships/webSettings" Target="webSettings.xml"/><Relationship Id="rId9" Type="http://schemas.openxmlformats.org/officeDocument/2006/relationships/hyperlink" Target="http://www.cebc4cw.org/assessment-tool/strengths-and-difficulties-questionnai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25182</CharactersWithSpaces>
  <SharedDoc>false</SharedDoc>
  <HLinks>
    <vt:vector size="12" baseType="variant">
      <vt:variant>
        <vt:i4>3801120</vt:i4>
      </vt:variant>
      <vt:variant>
        <vt:i4>3</vt:i4>
      </vt:variant>
      <vt:variant>
        <vt:i4>0</vt:i4>
      </vt:variant>
      <vt:variant>
        <vt:i4>5</vt:i4>
      </vt:variant>
      <vt:variant>
        <vt:lpwstr>http://www.pearsonassessments.com/HAIWEB/Cultures/en-us/Productdetail.htm?Pid=Vineland-II&amp;Mode=summary</vt:lpwstr>
      </vt:variant>
      <vt:variant>
        <vt:lpwstr/>
      </vt:variant>
      <vt:variant>
        <vt:i4>3735667</vt:i4>
      </vt:variant>
      <vt:variant>
        <vt:i4>0</vt:i4>
      </vt:variant>
      <vt:variant>
        <vt:i4>0</vt:i4>
      </vt:variant>
      <vt:variant>
        <vt:i4>5</vt:i4>
      </vt:variant>
      <vt:variant>
        <vt:lpwstr>http://www.tbindsc.org/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Common Data Element Recommendations for Social Role Participation</dc:title>
  <dc:subject>Guideline Document</dc:subject>
  <dc:creator>NINDS</dc:creator>
  <cp:keywords>NINDS, Guideline Document, Traumatic Brain Injury Common Data Element Recommendations for Social Role Participation</cp:keywords>
  <cp:lastModifiedBy>Andy Franklin</cp:lastModifiedBy>
  <cp:revision>2</cp:revision>
  <dcterms:created xsi:type="dcterms:W3CDTF">2014-05-16T18:23:00Z</dcterms:created>
  <dcterms:modified xsi:type="dcterms:W3CDTF">2014-05-16T18:23:00Z</dcterms:modified>
  <cp:category>Guideline Document</cp:category>
  <cp:contentStatus>508 Compliant</cp:contentStatus>
</cp:coreProperties>
</file>