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86" w:rsidRPr="000429AB" w:rsidRDefault="00D40A86" w:rsidP="000429AB">
      <w:pPr>
        <w:pStyle w:val="Heading2"/>
      </w:pPr>
      <w:r w:rsidRPr="000429AB">
        <w:t>Outcome Domain:</w:t>
      </w:r>
    </w:p>
    <w:p w:rsidR="00D40A86" w:rsidRPr="00D40A86" w:rsidRDefault="00D40A86" w:rsidP="00D40A86">
      <w:pPr>
        <w:rPr>
          <w:rFonts w:cs="Calibri"/>
        </w:rPr>
      </w:pPr>
      <w:r w:rsidRPr="00D40A86">
        <w:rPr>
          <w:rFonts w:cs="Calibri"/>
        </w:rPr>
        <w:t>Effort/Symptom Validity</w:t>
      </w:r>
    </w:p>
    <w:p w:rsidR="00D40A86" w:rsidRPr="00D40A86" w:rsidRDefault="00D40A86" w:rsidP="000429AB">
      <w:pPr>
        <w:pStyle w:val="Heading3"/>
      </w:pPr>
      <w:r w:rsidRPr="00D40A86">
        <w:t xml:space="preserve">Domain Description and Relevance in TBI: </w:t>
      </w:r>
    </w:p>
    <w:p w:rsidR="00D40A86" w:rsidRPr="00D40A86" w:rsidRDefault="00D40A86" w:rsidP="00D40A86">
      <w:pPr>
        <w:rPr>
          <w:rFonts w:cs="Calibri"/>
          <w:color w:val="000000"/>
        </w:rPr>
      </w:pPr>
      <w:r w:rsidRPr="00D40A86">
        <w:rPr>
          <w:rFonts w:cs="Calibri"/>
          <w:color w:val="000000"/>
        </w:rPr>
        <w:t>Poor results on tests of memory and cognition may be due to lack of effort or malingering. Tests in this domain help to evaluate the likelihood that cognitive impairment explains the participant’s/subject’s test results.</w:t>
      </w:r>
    </w:p>
    <w:p w:rsidR="000429AB" w:rsidRDefault="000429AB" w:rsidP="000429AB">
      <w:pPr>
        <w:pStyle w:val="Caption"/>
        <w:keepNext/>
      </w:pPr>
      <w:r>
        <w:t xml:space="preserve">Table </w:t>
      </w:r>
      <w:fldSimple w:instr=" SEQ Table \* ARABIC ">
        <w:r>
          <w:rPr>
            <w:noProof/>
          </w:rPr>
          <w:t>1</w:t>
        </w:r>
      </w:fldSimple>
      <w:r>
        <w:t xml:space="preserve"> </w:t>
      </w:r>
      <w:r w:rsidRPr="00356A96">
        <w:t>CDE Classification by Type of TBI Study and Relevant Population for Recommended Effort/Symptom Validity Outcome Measures</w:t>
      </w:r>
      <w:r>
        <w:t>.</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D40A86" w:rsidRPr="005463F4" w:rsidTr="000429AB">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40A86" w:rsidRPr="000429AB" w:rsidRDefault="00D40A86" w:rsidP="00510A62">
            <w:pPr>
              <w:spacing w:after="0" w:line="240" w:lineRule="auto"/>
              <w:jc w:val="center"/>
              <w:rPr>
                <w:rFonts w:eastAsia="Times New Roman" w:cs="Calibri"/>
                <w:bCs/>
                <w:sz w:val="20"/>
                <w:szCs w:val="20"/>
              </w:rPr>
            </w:pPr>
            <w:r w:rsidRPr="000429AB">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D40A86" w:rsidRPr="000429AB" w:rsidRDefault="00D40A86" w:rsidP="00510A62">
            <w:pPr>
              <w:spacing w:after="0" w:line="240" w:lineRule="auto"/>
              <w:jc w:val="center"/>
              <w:rPr>
                <w:rFonts w:eastAsia="Times New Roman" w:cs="Calibri"/>
                <w:bCs/>
                <w:sz w:val="20"/>
                <w:szCs w:val="20"/>
              </w:rPr>
            </w:pPr>
            <w:r w:rsidRPr="000429AB">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D40A86" w:rsidRPr="000429AB" w:rsidRDefault="00D40A86" w:rsidP="00510A62">
            <w:pPr>
              <w:spacing w:after="0" w:line="240" w:lineRule="auto"/>
              <w:jc w:val="center"/>
              <w:rPr>
                <w:rFonts w:eastAsia="Times New Roman" w:cs="Calibri"/>
                <w:bCs/>
                <w:sz w:val="20"/>
                <w:szCs w:val="20"/>
              </w:rPr>
            </w:pPr>
            <w:r w:rsidRPr="000429AB">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D40A86" w:rsidRPr="000429AB" w:rsidRDefault="00D40A86" w:rsidP="00510A62">
            <w:pPr>
              <w:spacing w:after="0" w:line="240" w:lineRule="auto"/>
              <w:jc w:val="center"/>
              <w:rPr>
                <w:rFonts w:eastAsia="Times New Roman" w:cs="Calibri"/>
                <w:bCs/>
                <w:sz w:val="20"/>
                <w:szCs w:val="20"/>
              </w:rPr>
            </w:pPr>
            <w:r w:rsidRPr="000429AB">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D40A86" w:rsidRPr="000429AB" w:rsidRDefault="00D40A86" w:rsidP="00510A62">
            <w:pPr>
              <w:spacing w:after="0" w:line="240" w:lineRule="auto"/>
              <w:jc w:val="center"/>
              <w:rPr>
                <w:rFonts w:eastAsia="Times New Roman" w:cs="Calibri"/>
                <w:bCs/>
                <w:sz w:val="20"/>
                <w:szCs w:val="20"/>
              </w:rPr>
            </w:pPr>
            <w:r w:rsidRPr="000429AB">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40A86" w:rsidRPr="000429AB" w:rsidRDefault="00D40A86" w:rsidP="00510A62">
            <w:pPr>
              <w:spacing w:after="0" w:line="240" w:lineRule="auto"/>
              <w:jc w:val="center"/>
              <w:rPr>
                <w:rFonts w:eastAsia="Times New Roman" w:cs="Calibri"/>
                <w:bCs/>
                <w:sz w:val="20"/>
                <w:szCs w:val="20"/>
              </w:rPr>
            </w:pPr>
            <w:r w:rsidRPr="000429AB">
              <w:rPr>
                <w:rFonts w:eastAsia="Times New Roman" w:cs="Calibri"/>
                <w:bCs/>
                <w:sz w:val="20"/>
                <w:szCs w:val="20"/>
              </w:rPr>
              <w:t>Epidemiology</w:t>
            </w:r>
          </w:p>
        </w:tc>
      </w:tr>
      <w:tr w:rsidR="00D40A86" w:rsidRPr="005463F4" w:rsidTr="000429AB">
        <w:trPr>
          <w:cantSplit/>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D40A86" w:rsidRPr="00D40A86" w:rsidRDefault="00D40A86" w:rsidP="00D40A86">
            <w:pPr>
              <w:spacing w:after="0" w:line="240" w:lineRule="auto"/>
              <w:rPr>
                <w:rFonts w:eastAsia="Times New Roman" w:cs="Calibri"/>
                <w:sz w:val="20"/>
                <w:szCs w:val="20"/>
              </w:rPr>
            </w:pPr>
            <w:r w:rsidRPr="00D40A86">
              <w:rPr>
                <w:rFonts w:eastAsia="Times New Roman" w:cs="Calibri"/>
                <w:sz w:val="20"/>
                <w:szCs w:val="20"/>
              </w:rPr>
              <w:t>Medical Symptom Validity Test</w:t>
            </w:r>
          </w:p>
        </w:tc>
        <w:tc>
          <w:tcPr>
            <w:tcW w:w="1170" w:type="dxa"/>
            <w:tcBorders>
              <w:top w:val="nil"/>
              <w:left w:val="nil"/>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Pr>
                <w:rFonts w:eastAsia="Times New Roman" w:cs="Calibri"/>
                <w:sz w:val="20"/>
                <w:szCs w:val="20"/>
              </w:rPr>
              <w:t>Adult and Pediatric</w:t>
            </w:r>
            <w:r w:rsidRPr="005463F4">
              <w:rPr>
                <w:rFonts w:eastAsia="Times New Roman" w:cs="Calibri"/>
                <w:sz w:val="20"/>
                <w:szCs w:val="20"/>
              </w:rPr>
              <w:t xml:space="preserve"> </w:t>
            </w:r>
          </w:p>
        </w:tc>
        <w:tc>
          <w:tcPr>
            <w:tcW w:w="1530" w:type="dxa"/>
            <w:tcBorders>
              <w:top w:val="nil"/>
              <w:left w:val="nil"/>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r>
      <w:tr w:rsidR="00D40A86" w:rsidRPr="005463F4" w:rsidTr="000429AB">
        <w:trPr>
          <w:cantSplit/>
          <w:trHeight w:val="900"/>
        </w:trPr>
        <w:tc>
          <w:tcPr>
            <w:tcW w:w="1890" w:type="dxa"/>
            <w:tcBorders>
              <w:top w:val="nil"/>
              <w:left w:val="single" w:sz="4" w:space="0" w:color="auto"/>
              <w:bottom w:val="single" w:sz="4" w:space="0" w:color="auto"/>
              <w:right w:val="single" w:sz="4" w:space="0" w:color="auto"/>
            </w:tcBorders>
            <w:shd w:val="clear" w:color="000000" w:fill="FFFFFF"/>
            <w:hideMark/>
          </w:tcPr>
          <w:p w:rsidR="00D40A86" w:rsidRPr="00D40A86" w:rsidRDefault="00D40A86" w:rsidP="00D40A86">
            <w:pPr>
              <w:spacing w:after="0" w:line="240" w:lineRule="auto"/>
              <w:rPr>
                <w:rFonts w:eastAsia="Times New Roman" w:cs="Calibri"/>
                <w:sz w:val="20"/>
                <w:szCs w:val="20"/>
              </w:rPr>
            </w:pPr>
            <w:r w:rsidRPr="00D40A86">
              <w:rPr>
                <w:rFonts w:eastAsia="Times New Roman" w:cs="Calibri"/>
                <w:sz w:val="20"/>
                <w:szCs w:val="20"/>
              </w:rPr>
              <w:t>Test of Memory Malingering (TOMM)</w:t>
            </w:r>
          </w:p>
        </w:tc>
        <w:tc>
          <w:tcPr>
            <w:tcW w:w="1170" w:type="dxa"/>
            <w:tcBorders>
              <w:top w:val="nil"/>
              <w:left w:val="nil"/>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Pr>
                <w:rFonts w:eastAsia="Times New Roman" w:cs="Calibri"/>
                <w:sz w:val="20"/>
                <w:szCs w:val="20"/>
              </w:rPr>
              <w:t>Adult and Pediatric</w:t>
            </w:r>
          </w:p>
        </w:tc>
        <w:tc>
          <w:tcPr>
            <w:tcW w:w="1530" w:type="dxa"/>
            <w:tcBorders>
              <w:top w:val="nil"/>
              <w:left w:val="nil"/>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r>
      <w:tr w:rsidR="00D40A86" w:rsidRPr="005463F4" w:rsidTr="000429AB">
        <w:trPr>
          <w:cantSplit/>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D40A86" w:rsidRPr="00D40A86" w:rsidRDefault="00D40A86" w:rsidP="00D40A86">
            <w:pPr>
              <w:spacing w:after="0" w:line="240" w:lineRule="auto"/>
              <w:rPr>
                <w:rFonts w:eastAsia="Times New Roman" w:cs="Calibri"/>
                <w:sz w:val="20"/>
                <w:szCs w:val="20"/>
              </w:rPr>
            </w:pPr>
            <w:r w:rsidRPr="00D40A86">
              <w:rPr>
                <w:rFonts w:eastAsia="Times New Roman" w:cs="Calibri"/>
                <w:sz w:val="20"/>
                <w:szCs w:val="20"/>
              </w:rPr>
              <w:t>Victoria Symptom Validity Test</w:t>
            </w:r>
          </w:p>
        </w:tc>
        <w:tc>
          <w:tcPr>
            <w:tcW w:w="1170" w:type="dxa"/>
            <w:tcBorders>
              <w:top w:val="nil"/>
              <w:left w:val="nil"/>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Pr>
                <w:rFonts w:eastAsia="Times New Roman" w:cs="Calibri"/>
                <w:sz w:val="20"/>
                <w:szCs w:val="20"/>
              </w:rPr>
              <w:t>Adult and Pediatric</w:t>
            </w:r>
          </w:p>
        </w:tc>
        <w:tc>
          <w:tcPr>
            <w:tcW w:w="1530" w:type="dxa"/>
            <w:tcBorders>
              <w:top w:val="nil"/>
              <w:left w:val="nil"/>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r>
      <w:tr w:rsidR="00D40A86" w:rsidRPr="005463F4" w:rsidTr="000429AB">
        <w:trPr>
          <w:cantSplit/>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D40A86" w:rsidRPr="00D40A86" w:rsidRDefault="00D40A86" w:rsidP="00D40A86">
            <w:pPr>
              <w:spacing w:after="0" w:line="240" w:lineRule="auto"/>
              <w:rPr>
                <w:rFonts w:eastAsia="Times New Roman" w:cs="Calibri"/>
                <w:sz w:val="20"/>
                <w:szCs w:val="20"/>
              </w:rPr>
            </w:pPr>
            <w:r w:rsidRPr="00D40A86">
              <w:rPr>
                <w:rFonts w:eastAsia="Times New Roman" w:cs="Calibri"/>
                <w:sz w:val="20"/>
                <w:szCs w:val="20"/>
              </w:rPr>
              <w:t>Word Memory Test</w:t>
            </w:r>
          </w:p>
        </w:tc>
        <w:tc>
          <w:tcPr>
            <w:tcW w:w="1170" w:type="dxa"/>
            <w:tcBorders>
              <w:top w:val="nil"/>
              <w:left w:val="nil"/>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Pr>
                <w:rFonts w:eastAsia="Times New Roman" w:cs="Calibri"/>
                <w:sz w:val="20"/>
                <w:szCs w:val="20"/>
              </w:rPr>
              <w:t>Adult and Pediatric</w:t>
            </w:r>
          </w:p>
        </w:tc>
        <w:tc>
          <w:tcPr>
            <w:tcW w:w="1530" w:type="dxa"/>
            <w:tcBorders>
              <w:top w:val="nil"/>
              <w:left w:val="nil"/>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D40A86" w:rsidRPr="005463F4" w:rsidRDefault="00D40A86" w:rsidP="00510A62">
            <w:pPr>
              <w:spacing w:after="0" w:line="240" w:lineRule="auto"/>
              <w:rPr>
                <w:rFonts w:eastAsia="Times New Roman" w:cs="Calibri"/>
                <w:sz w:val="20"/>
                <w:szCs w:val="20"/>
              </w:rPr>
            </w:pPr>
            <w:r w:rsidRPr="005463F4">
              <w:rPr>
                <w:rFonts w:eastAsia="Times New Roman" w:cs="Calibri"/>
                <w:sz w:val="20"/>
                <w:szCs w:val="20"/>
              </w:rPr>
              <w:t>Supplemental</w:t>
            </w:r>
          </w:p>
        </w:tc>
      </w:tr>
    </w:tbl>
    <w:p w:rsidR="00BA177D" w:rsidRPr="00D40A86" w:rsidRDefault="00D40A86" w:rsidP="000429AB">
      <w:pPr>
        <w:pStyle w:val="Heading2"/>
        <w:spacing w:before="120" w:after="60"/>
      </w:pPr>
      <w:r>
        <w:br w:type="page"/>
      </w:r>
      <w:r w:rsidR="00BA177D" w:rsidRPr="00D40A86">
        <w:lastRenderedPageBreak/>
        <w:t>Word Memory Test</w:t>
      </w:r>
      <w:r w:rsidR="0079543B" w:rsidRPr="00D40A86">
        <w:t xml:space="preserve"> </w:t>
      </w:r>
    </w:p>
    <w:p w:rsidR="00BA177D" w:rsidRPr="000429AB" w:rsidRDefault="00BA177D" w:rsidP="000429AB">
      <w:pPr>
        <w:pStyle w:val="Heading3"/>
        <w:spacing w:before="120" w:after="60"/>
      </w:pPr>
      <w:r w:rsidRPr="000429AB">
        <w:t>DESCRIPTION:</w:t>
      </w:r>
    </w:p>
    <w:p w:rsidR="00BA177D" w:rsidRPr="00D40A86" w:rsidRDefault="00BA177D" w:rsidP="000429AB">
      <w:pPr>
        <w:spacing w:before="120" w:after="60"/>
        <w:rPr>
          <w:rFonts w:cs="Calibri"/>
        </w:rPr>
      </w:pPr>
      <w:r w:rsidRPr="00D40A86">
        <w:rPr>
          <w:rFonts w:cs="Calibri"/>
        </w:rPr>
        <w:t xml:space="preserve">The Word Memory Test is a computerized test of verbal memory and symptom/performance validity, in which patients are presented 20 semantically-related word pairs. Six subtests include a mix of easy and difficult tests: Immediate Recognition, Delayed Recognition, Multiple Choice, Paired Associates, Free Recall and Long Delay Free Recall. </w:t>
      </w:r>
    </w:p>
    <w:p w:rsidR="000429AB" w:rsidRDefault="000429AB" w:rsidP="000429AB">
      <w:pPr>
        <w:pStyle w:val="Heading3"/>
        <w:spacing w:before="120" w:after="60"/>
      </w:pPr>
      <w:r>
        <w:t>PERMISSIBLE VALUES:</w:t>
      </w:r>
    </w:p>
    <w:p w:rsidR="00BA177D" w:rsidRPr="00D40A86" w:rsidRDefault="00BA177D" w:rsidP="000429AB">
      <w:pPr>
        <w:spacing w:before="120" w:after="60"/>
        <w:rPr>
          <w:rFonts w:cs="Calibri"/>
        </w:rPr>
      </w:pPr>
      <w:r w:rsidRPr="00D40A86">
        <w:rPr>
          <w:rFonts w:cs="Calibri"/>
        </w:rPr>
        <w:t>Raw scores and percent of answers correct are scored per subtest.</w:t>
      </w:r>
      <w:r w:rsidRPr="00D40A86">
        <w:rPr>
          <w:rFonts w:cs="Calibri"/>
          <w:b/>
        </w:rPr>
        <w:t xml:space="preserve"> </w:t>
      </w:r>
    </w:p>
    <w:p w:rsidR="000429AB" w:rsidRDefault="00BA177D" w:rsidP="000429AB">
      <w:pPr>
        <w:pStyle w:val="Heading3"/>
        <w:spacing w:before="120" w:after="60"/>
      </w:pPr>
      <w:r w:rsidRPr="00D40A86">
        <w:t>PROCE</w:t>
      </w:r>
      <w:r w:rsidR="000429AB">
        <w:t>DURE:</w:t>
      </w:r>
    </w:p>
    <w:p w:rsidR="00BA177D" w:rsidRPr="00D40A86" w:rsidRDefault="00BA177D" w:rsidP="000429AB">
      <w:pPr>
        <w:spacing w:before="120" w:after="60"/>
        <w:rPr>
          <w:b/>
        </w:rPr>
      </w:pPr>
      <w:r w:rsidRPr="00D40A86">
        <w:t xml:space="preserve">Administered via computer. The testing portion can be completed in 10 to 15 minutes. </w:t>
      </w:r>
    </w:p>
    <w:p w:rsidR="000429AB" w:rsidRDefault="00BA177D" w:rsidP="000429AB">
      <w:pPr>
        <w:pStyle w:val="Heading3"/>
        <w:spacing w:before="120" w:after="60"/>
      </w:pPr>
      <w:r w:rsidRPr="00D40A86">
        <w:t>COMMENTS:</w:t>
      </w:r>
    </w:p>
    <w:p w:rsidR="00BA177D" w:rsidRPr="00D40A86" w:rsidRDefault="00BA177D" w:rsidP="000429AB">
      <w:pPr>
        <w:spacing w:before="120" w:after="60"/>
        <w:rPr>
          <w:rFonts w:cs="Calibri"/>
        </w:rPr>
      </w:pPr>
      <w:r w:rsidRPr="00D40A86">
        <w:rPr>
          <w:rFonts w:cs="Calibri"/>
        </w:rPr>
        <w:t>Can be used in adults and children, although not appropriate for individuals who have less than a 3</w:t>
      </w:r>
      <w:r w:rsidRPr="00D40A86">
        <w:rPr>
          <w:rFonts w:cs="Calibri"/>
          <w:vertAlign w:val="superscript"/>
        </w:rPr>
        <w:t>rd</w:t>
      </w:r>
      <w:r w:rsidRPr="00D40A86">
        <w:rPr>
          <w:rFonts w:cs="Calibri"/>
        </w:rPr>
        <w:t xml:space="preserve"> grade reading level.</w:t>
      </w:r>
    </w:p>
    <w:p w:rsidR="000429AB" w:rsidRDefault="000429AB" w:rsidP="000429AB">
      <w:pPr>
        <w:pStyle w:val="Heading3"/>
        <w:spacing w:before="120" w:after="60"/>
      </w:pPr>
      <w:r>
        <w:t>RATIONALE:</w:t>
      </w:r>
    </w:p>
    <w:p w:rsidR="00BA177D" w:rsidRPr="00D40A86" w:rsidRDefault="00BA177D" w:rsidP="000429AB">
      <w:pPr>
        <w:spacing w:before="120" w:after="60"/>
        <w:rPr>
          <w:rFonts w:cs="Calibri"/>
          <w:b/>
        </w:rPr>
      </w:pPr>
      <w:r w:rsidRPr="00D40A86">
        <w:rPr>
          <w:rFonts w:cs="Calibri"/>
        </w:rPr>
        <w:t>Available in multiple languages and with norms from different groups</w:t>
      </w:r>
      <w:r w:rsidRPr="00D40A86">
        <w:rPr>
          <w:rFonts w:cs="Calibri"/>
          <w:color w:val="000000"/>
        </w:rPr>
        <w:t xml:space="preserve"> across a variety of settings. Validity measures are sensitive to inadequate effort and quite insensitive to individual ability-based differences. Profile analysis can further differentiate true impairment from noncredible effort. Appears resistant to coaching.</w:t>
      </w:r>
    </w:p>
    <w:p w:rsidR="00BA177D" w:rsidRPr="00D40A86" w:rsidRDefault="00BA177D" w:rsidP="000429AB">
      <w:pPr>
        <w:pStyle w:val="Heading3"/>
        <w:spacing w:before="120" w:after="60"/>
      </w:pPr>
      <w:r w:rsidRPr="00D40A86">
        <w:t>REFERENCES:</w:t>
      </w:r>
    </w:p>
    <w:p w:rsidR="00BA177D" w:rsidRPr="00D40A86" w:rsidRDefault="00BA177D" w:rsidP="000429AB">
      <w:pPr>
        <w:spacing w:before="120" w:after="60"/>
        <w:rPr>
          <w:rStyle w:val="meta"/>
          <w:rFonts w:cs="Calibri"/>
        </w:rPr>
      </w:pPr>
      <w:r w:rsidRPr="00D40A86">
        <w:rPr>
          <w:rStyle w:val="meta"/>
          <w:rFonts w:cs="Calibri"/>
        </w:rPr>
        <w:t>Green, P. (2003, revised 2005) Word Memory Test for Windows: User's manual and program. Green's Publishing, Edmonton.</w:t>
      </w:r>
    </w:p>
    <w:p w:rsidR="00BA177D" w:rsidRPr="00D40A86" w:rsidRDefault="00BA177D" w:rsidP="000429AB">
      <w:pPr>
        <w:spacing w:before="120" w:after="60"/>
        <w:rPr>
          <w:rStyle w:val="meta"/>
          <w:rFonts w:cs="Calibri"/>
        </w:rPr>
      </w:pPr>
      <w:r w:rsidRPr="00D40A86">
        <w:rPr>
          <w:rStyle w:val="meta"/>
          <w:rFonts w:cs="Calibri"/>
        </w:rPr>
        <w:t>Green, P. (2002). The Word Memory Test and the validity of neuropsychological test scores. Journal of Forensic Neuropsychology, 2(3–4), 97–124.</w:t>
      </w:r>
    </w:p>
    <w:p w:rsidR="00BA177D" w:rsidRPr="00D40A86" w:rsidRDefault="00BA177D" w:rsidP="000429AB">
      <w:pPr>
        <w:spacing w:before="120" w:after="60"/>
        <w:rPr>
          <w:rStyle w:val="meta"/>
          <w:rFonts w:cs="Calibri"/>
        </w:rPr>
      </w:pPr>
      <w:r w:rsidRPr="00D40A86">
        <w:rPr>
          <w:rStyle w:val="meta"/>
          <w:rFonts w:cs="Calibri"/>
        </w:rPr>
        <w:t>Green, P. (2006). The pervasive influence of effort on neuropsychological test. International Journal of Forensic Psychology, 1(3), 1–21.</w:t>
      </w:r>
    </w:p>
    <w:p w:rsidR="00BA177D" w:rsidRPr="00D40A86" w:rsidRDefault="00BA177D" w:rsidP="000429AB">
      <w:pPr>
        <w:spacing w:before="120" w:after="60"/>
        <w:rPr>
          <w:rFonts w:cs="Calibri"/>
        </w:rPr>
      </w:pPr>
      <w:r w:rsidRPr="00D40A86">
        <w:rPr>
          <w:rFonts w:cs="Calibri"/>
        </w:rPr>
        <w:t>Green, P. , Flaro, L. &amp; Courtney, J. (2009). Examining false positives on the WMT in adults with mild traumatic brain injury. Brain Injury, 23(9): 741-750</w:t>
      </w:r>
    </w:p>
    <w:p w:rsidR="00BA177D" w:rsidRPr="00D40A86" w:rsidRDefault="00BA177D" w:rsidP="000429AB">
      <w:pPr>
        <w:pStyle w:val="Heading2"/>
        <w:spacing w:before="120" w:after="60"/>
      </w:pPr>
      <w:r w:rsidRPr="00D40A86">
        <w:rPr>
          <w:rStyle w:val="meta"/>
        </w:rPr>
        <w:br w:type="page"/>
      </w:r>
      <w:r w:rsidRPr="00D40A86">
        <w:lastRenderedPageBreak/>
        <w:t>Medical Symptom Validity Test</w:t>
      </w:r>
    </w:p>
    <w:p w:rsidR="00BA177D" w:rsidRPr="00D40A86" w:rsidRDefault="00BA177D" w:rsidP="000429AB">
      <w:pPr>
        <w:pStyle w:val="Heading3"/>
        <w:spacing w:before="120" w:after="60"/>
      </w:pPr>
      <w:r w:rsidRPr="00D40A86">
        <w:t xml:space="preserve">DESCRIPTION: </w:t>
      </w:r>
    </w:p>
    <w:p w:rsidR="00BA177D" w:rsidRPr="00D40A86" w:rsidRDefault="00BA177D" w:rsidP="000429AB">
      <w:pPr>
        <w:spacing w:before="120" w:after="60"/>
        <w:rPr>
          <w:rFonts w:cs="Calibri"/>
        </w:rPr>
      </w:pPr>
      <w:r w:rsidRPr="00D40A86">
        <w:rPr>
          <w:rFonts w:cs="Calibri"/>
        </w:rPr>
        <w:t>The Medical Symptom Validity Test is a shorter version of the Word Memory Test, in which patients are presented with 10 se</w:t>
      </w:r>
      <w:r w:rsidR="000429AB">
        <w:rPr>
          <w:rFonts w:cs="Calibri"/>
        </w:rPr>
        <w:t xml:space="preserve">mantically-related word pairs. </w:t>
      </w:r>
      <w:r w:rsidRPr="00D40A86">
        <w:rPr>
          <w:rFonts w:cs="Calibri"/>
        </w:rPr>
        <w:t xml:space="preserve">Four conditions are tested: Immediate Recognition, Delayed Recognition, Paired Associate, and Free Recall. </w:t>
      </w:r>
    </w:p>
    <w:p w:rsidR="000429AB" w:rsidRDefault="00BA177D" w:rsidP="000429AB">
      <w:pPr>
        <w:pStyle w:val="Heading3"/>
        <w:spacing w:before="120" w:after="60"/>
      </w:pPr>
      <w:r w:rsidRPr="00D40A86">
        <w:t>PERMISSIBLE VALUES:</w:t>
      </w:r>
      <w:bookmarkStart w:id="0" w:name="_GoBack"/>
      <w:bookmarkEnd w:id="0"/>
    </w:p>
    <w:p w:rsidR="00BA177D" w:rsidRPr="00D40A86" w:rsidRDefault="00BA177D" w:rsidP="000429AB">
      <w:pPr>
        <w:spacing w:before="120" w:after="60"/>
        <w:rPr>
          <w:rFonts w:cs="Calibri"/>
        </w:rPr>
      </w:pPr>
      <w:r w:rsidRPr="00D40A86">
        <w:rPr>
          <w:rFonts w:cs="Calibri"/>
        </w:rPr>
        <w:t>Raw scores and percent of answers correct scored per subtest.</w:t>
      </w:r>
      <w:r w:rsidRPr="00D40A86">
        <w:rPr>
          <w:rFonts w:cs="Calibri"/>
          <w:b/>
        </w:rPr>
        <w:t xml:space="preserve"> </w:t>
      </w:r>
    </w:p>
    <w:p w:rsidR="000429AB" w:rsidRDefault="000429AB" w:rsidP="000429AB">
      <w:pPr>
        <w:pStyle w:val="Heading3"/>
        <w:spacing w:before="120" w:after="60"/>
      </w:pPr>
      <w:r>
        <w:t>PROCEDURE:</w:t>
      </w:r>
    </w:p>
    <w:p w:rsidR="00BA177D" w:rsidRPr="00D40A86" w:rsidRDefault="00BA177D" w:rsidP="000429AB">
      <w:pPr>
        <w:spacing w:before="120" w:after="60"/>
        <w:rPr>
          <w:rFonts w:cs="Calibri"/>
        </w:rPr>
      </w:pPr>
      <w:r w:rsidRPr="00D40A86">
        <w:rPr>
          <w:rFonts w:cs="Calibri"/>
        </w:rPr>
        <w:t xml:space="preserve">Administered via computer. The testing portion can be completed in 5 minutes. </w:t>
      </w:r>
    </w:p>
    <w:p w:rsidR="000429AB" w:rsidRDefault="000429AB" w:rsidP="000429AB">
      <w:pPr>
        <w:pStyle w:val="Heading3"/>
        <w:spacing w:before="120" w:after="60"/>
      </w:pPr>
      <w:r>
        <w:t>COMMENTS:</w:t>
      </w:r>
    </w:p>
    <w:p w:rsidR="00BA177D" w:rsidRPr="00D40A86" w:rsidRDefault="00BA177D" w:rsidP="000429AB">
      <w:pPr>
        <w:spacing w:before="120" w:after="60"/>
        <w:rPr>
          <w:rFonts w:cs="Calibri"/>
          <w:b/>
        </w:rPr>
      </w:pPr>
      <w:r w:rsidRPr="00D40A86">
        <w:rPr>
          <w:rFonts w:cs="Calibri"/>
        </w:rPr>
        <w:t>Can be used in adults and children, although not appropriate for individuals who have less than a 2</w:t>
      </w:r>
      <w:r w:rsidRPr="00D40A86">
        <w:rPr>
          <w:rFonts w:cs="Calibri"/>
          <w:vertAlign w:val="superscript"/>
        </w:rPr>
        <w:t>nd</w:t>
      </w:r>
      <w:r w:rsidRPr="00D40A86">
        <w:rPr>
          <w:rFonts w:cs="Calibri"/>
        </w:rPr>
        <w:t xml:space="preserve"> grade reading level.</w:t>
      </w:r>
    </w:p>
    <w:p w:rsidR="000429AB" w:rsidRDefault="000429AB" w:rsidP="000429AB">
      <w:pPr>
        <w:pStyle w:val="Heading3"/>
        <w:spacing w:before="120" w:after="60"/>
      </w:pPr>
      <w:r>
        <w:t>RATIONALE:</w:t>
      </w:r>
    </w:p>
    <w:p w:rsidR="00BA177D" w:rsidRPr="00D40A86" w:rsidRDefault="00BA177D" w:rsidP="000429AB">
      <w:pPr>
        <w:spacing w:before="120" w:after="60"/>
        <w:rPr>
          <w:rFonts w:cs="Calibri"/>
          <w:b/>
        </w:rPr>
      </w:pPr>
      <w:r w:rsidRPr="00D40A86">
        <w:rPr>
          <w:rFonts w:cs="Calibri"/>
        </w:rPr>
        <w:t xml:space="preserve">Available in multiple languages and with norms from different groups across a variety of settings. Short administration time makes MSVT a good choice for screening. </w:t>
      </w:r>
      <w:r w:rsidRPr="00D40A86">
        <w:rPr>
          <w:rFonts w:cs="Calibri"/>
          <w:color w:val="000000"/>
        </w:rPr>
        <w:t>Validity measures are sensitive to inadequate effort and quite insensitive to individual ability-based differences. Profile analysis can further differentiate true impairment from effort-related problems. Appears resistant to coaching.</w:t>
      </w:r>
    </w:p>
    <w:p w:rsidR="00BA177D" w:rsidRPr="00D40A86" w:rsidRDefault="00BA177D" w:rsidP="000429AB">
      <w:pPr>
        <w:pStyle w:val="Heading3"/>
        <w:spacing w:before="120" w:after="60"/>
      </w:pPr>
      <w:r w:rsidRPr="00D40A86">
        <w:t>REFERENCES:</w:t>
      </w:r>
    </w:p>
    <w:p w:rsidR="00BA177D" w:rsidRPr="00D40A86" w:rsidRDefault="00BA177D" w:rsidP="000429AB">
      <w:pPr>
        <w:spacing w:before="120" w:after="60"/>
        <w:rPr>
          <w:rStyle w:val="meta"/>
          <w:rFonts w:cs="Calibri"/>
        </w:rPr>
      </w:pPr>
      <w:hyperlink r:id="rId8" w:history="1">
        <w:r w:rsidRPr="00D40A86">
          <w:rPr>
            <w:rFonts w:cs="Calibri"/>
            <w:bCs/>
          </w:rPr>
          <w:t>Armistead-Jehle P</w:t>
        </w:r>
      </w:hyperlink>
      <w:r w:rsidRPr="00D40A86">
        <w:rPr>
          <w:rFonts w:cs="Calibri"/>
          <w:bCs/>
        </w:rPr>
        <w:t>. (2009). Symptom validity test performance in U.S. veterans referred for evaluation of mild TBI. Applied Neuropsychology, 17, 52-59.</w:t>
      </w:r>
    </w:p>
    <w:p w:rsidR="00BA177D" w:rsidRPr="00D40A86" w:rsidRDefault="00BA177D" w:rsidP="000429AB">
      <w:pPr>
        <w:spacing w:before="120" w:after="60"/>
        <w:rPr>
          <w:rStyle w:val="meta"/>
          <w:rFonts w:cs="Calibri"/>
        </w:rPr>
      </w:pPr>
      <w:r w:rsidRPr="00D40A86">
        <w:rPr>
          <w:rStyle w:val="meta"/>
          <w:rFonts w:cs="Calibri"/>
        </w:rPr>
        <w:t>Green, P. (2003, revised 2005) Medical Symptom Validity Test for Windows: User's manual and program, Green's Publishing, Edmonton.</w:t>
      </w:r>
    </w:p>
    <w:p w:rsidR="00BA177D" w:rsidRPr="00D40A86" w:rsidRDefault="00BA177D" w:rsidP="000429AB">
      <w:pPr>
        <w:spacing w:before="120" w:after="60"/>
        <w:rPr>
          <w:rFonts w:cs="Calibri"/>
          <w:i/>
        </w:rPr>
      </w:pPr>
      <w:r w:rsidRPr="00D40A86">
        <w:rPr>
          <w:rFonts w:cs="Calibri"/>
        </w:rPr>
        <w:t xml:space="preserve">Kirkwood, M.W. &amp; Kirk, J.W. (2010). The base rate of suboptimal effort in a pediatric mild TBI sample: Performance on the Medical Symptom Validity Test. </w:t>
      </w:r>
      <w:r w:rsidRPr="00D40A86">
        <w:rPr>
          <w:rFonts w:cs="Calibri"/>
          <w:i/>
        </w:rPr>
        <w:t xml:space="preserve">The Clinical Neuropsychologist, 24, </w:t>
      </w:r>
      <w:r w:rsidRPr="00D40A86">
        <w:rPr>
          <w:rFonts w:cs="Calibri"/>
        </w:rPr>
        <w:t>860-872</w:t>
      </w:r>
      <w:r w:rsidRPr="00D40A86">
        <w:rPr>
          <w:rFonts w:cs="Calibri"/>
          <w:i/>
        </w:rPr>
        <w:t>.</w:t>
      </w:r>
    </w:p>
    <w:p w:rsidR="00BA177D" w:rsidRPr="00D40A86" w:rsidRDefault="00D40A86" w:rsidP="000429AB">
      <w:pPr>
        <w:pStyle w:val="Heading2"/>
        <w:spacing w:before="120" w:after="60"/>
      </w:pPr>
      <w:r>
        <w:br w:type="page"/>
      </w:r>
      <w:r w:rsidR="00BA177D" w:rsidRPr="00D40A86">
        <w:lastRenderedPageBreak/>
        <w:t xml:space="preserve">Test of Memory Malingering (TOMM) </w:t>
      </w:r>
    </w:p>
    <w:p w:rsidR="000429AB" w:rsidRDefault="00BA177D" w:rsidP="000429AB">
      <w:pPr>
        <w:pStyle w:val="Heading3"/>
        <w:spacing w:before="120" w:after="60"/>
      </w:pPr>
      <w:r w:rsidRPr="00D40A86">
        <w:t>DESCRI</w:t>
      </w:r>
      <w:r w:rsidR="000429AB">
        <w:t>PTION:</w:t>
      </w:r>
    </w:p>
    <w:p w:rsidR="00BA177D" w:rsidRPr="00D40A86" w:rsidRDefault="00BA177D" w:rsidP="000429AB">
      <w:pPr>
        <w:spacing w:before="120" w:after="60"/>
        <w:rPr>
          <w:rFonts w:cs="Calibri"/>
        </w:rPr>
      </w:pPr>
      <w:r w:rsidRPr="00D40A86">
        <w:rPr>
          <w:rFonts w:cs="Calibri"/>
        </w:rPr>
        <w:t xml:space="preserve">The Test of Memory Malingering (TOMM) is a widely used 50-item test designed to assess symptom/performance validity. In two learning trials and an optional retention trial, pictures of objects are presented serially to the patient. Following the learning trials, the patient must choose the drawings previously shown in the learning trials. </w:t>
      </w:r>
    </w:p>
    <w:p w:rsidR="000429AB" w:rsidRDefault="00BA177D" w:rsidP="000429AB">
      <w:pPr>
        <w:pStyle w:val="Heading3"/>
        <w:spacing w:before="120" w:after="60"/>
        <w:rPr>
          <w:lang w:val="en"/>
        </w:rPr>
      </w:pPr>
      <w:r w:rsidRPr="00D40A86">
        <w:t>PERMISSIBLE VALUES:</w:t>
      </w:r>
    </w:p>
    <w:p w:rsidR="00BA177D" w:rsidRPr="00D40A86" w:rsidRDefault="00BA177D" w:rsidP="000429AB">
      <w:pPr>
        <w:spacing w:before="120" w:after="60"/>
        <w:rPr>
          <w:rFonts w:cs="Calibri"/>
          <w:b/>
        </w:rPr>
      </w:pPr>
      <w:r w:rsidRPr="00D40A86">
        <w:rPr>
          <w:rFonts w:cs="Calibri"/>
          <w:lang w:val="en"/>
        </w:rPr>
        <w:t>0 to 50 correct answers</w:t>
      </w:r>
    </w:p>
    <w:p w:rsidR="000429AB" w:rsidRDefault="000429AB" w:rsidP="000429AB">
      <w:pPr>
        <w:pStyle w:val="Heading3"/>
        <w:spacing w:before="120" w:after="60"/>
      </w:pPr>
      <w:r>
        <w:t>PROCEDURE:</w:t>
      </w:r>
    </w:p>
    <w:p w:rsidR="00BA177D" w:rsidRPr="00D40A86" w:rsidRDefault="00BA177D" w:rsidP="000429AB">
      <w:pPr>
        <w:spacing w:before="120" w:after="60"/>
        <w:rPr>
          <w:rFonts w:cs="Calibri"/>
          <w:lang w:val="en"/>
        </w:rPr>
      </w:pPr>
      <w:r w:rsidRPr="00D40A86">
        <w:rPr>
          <w:rFonts w:cs="Calibri"/>
        </w:rPr>
        <w:t>Administered by trained examiners.</w:t>
      </w:r>
      <w:r w:rsidRPr="00D40A86">
        <w:rPr>
          <w:rFonts w:cs="Calibri"/>
          <w:b/>
        </w:rPr>
        <w:t xml:space="preserve"> </w:t>
      </w:r>
      <w:r w:rsidRPr="00D40A86">
        <w:rPr>
          <w:rFonts w:cs="Calibri"/>
        </w:rPr>
        <w:t>The</w:t>
      </w:r>
      <w:r w:rsidRPr="00D40A86">
        <w:rPr>
          <w:rFonts w:cs="Calibri"/>
          <w:b/>
        </w:rPr>
        <w:t xml:space="preserve"> </w:t>
      </w:r>
      <w:r w:rsidRPr="00D40A86">
        <w:rPr>
          <w:rFonts w:cs="Calibri"/>
        </w:rPr>
        <w:t xml:space="preserve">test can be administered by booklet or via computer. Administration time is 15 to 20 minutes for standard administration, plus another 5 to 10 minutes if the optional retention trial is administered. </w:t>
      </w:r>
    </w:p>
    <w:p w:rsidR="000429AB" w:rsidRDefault="000429AB" w:rsidP="000429AB">
      <w:pPr>
        <w:pStyle w:val="Heading3"/>
        <w:spacing w:before="120" w:after="60"/>
      </w:pPr>
      <w:r>
        <w:t>COMMENTS:</w:t>
      </w:r>
    </w:p>
    <w:p w:rsidR="00BA177D" w:rsidRPr="00D40A86" w:rsidRDefault="00BA177D" w:rsidP="000429AB">
      <w:pPr>
        <w:spacing w:before="120" w:after="60"/>
        <w:rPr>
          <w:rFonts w:cs="Calibri"/>
          <w:lang w:val="en"/>
        </w:rPr>
      </w:pPr>
      <w:r w:rsidRPr="00D40A86">
        <w:rPr>
          <w:rStyle w:val="Strong"/>
          <w:rFonts w:cs="Calibri"/>
          <w:b w:val="0"/>
          <w:lang w:val="en"/>
        </w:rPr>
        <w:t xml:space="preserve">The test was designed for ages </w:t>
      </w:r>
      <w:r w:rsidRPr="00D40A86">
        <w:rPr>
          <w:rFonts w:cs="Calibri"/>
          <w:lang w:val="en"/>
        </w:rPr>
        <w:t xml:space="preserve">16 to 84, but has been shown to be appropriate for children as young as 5 years. </w:t>
      </w:r>
    </w:p>
    <w:p w:rsidR="000429AB" w:rsidRDefault="00BA177D" w:rsidP="000429AB">
      <w:pPr>
        <w:pStyle w:val="Heading3"/>
        <w:spacing w:before="120" w:after="60"/>
      </w:pPr>
      <w:r w:rsidRPr="00D40A86">
        <w:t>R</w:t>
      </w:r>
      <w:r w:rsidR="000429AB">
        <w:t>ATIONALE:</w:t>
      </w:r>
    </w:p>
    <w:p w:rsidR="00BA177D" w:rsidRPr="00D40A86" w:rsidRDefault="00BA177D" w:rsidP="000429AB">
      <w:pPr>
        <w:spacing w:before="120" w:after="60"/>
        <w:rPr>
          <w:rFonts w:cs="Calibri"/>
        </w:rPr>
      </w:pPr>
      <w:r w:rsidRPr="00D40A86">
        <w:rPr>
          <w:rFonts w:cs="Calibri"/>
        </w:rPr>
        <w:t>The TOMM is fairly insensitive to ability-based differences, though caution is needed when using recommended cutoffs in the case of extreme impairment such as moderate-severe dementia or intellectual disability. H</w:t>
      </w:r>
      <w:r w:rsidRPr="00D40A86">
        <w:rPr>
          <w:rFonts w:cs="Calibri"/>
          <w:lang w:val="en"/>
        </w:rPr>
        <w:t>as undergone psychometric validation in a range of populations including TBI. The test shows resistance to coaching.</w:t>
      </w:r>
    </w:p>
    <w:p w:rsidR="00BA177D" w:rsidRPr="00D40A86" w:rsidRDefault="00BA177D" w:rsidP="000429AB">
      <w:pPr>
        <w:pStyle w:val="Heading3"/>
        <w:spacing w:before="120" w:after="60"/>
      </w:pPr>
      <w:r w:rsidRPr="00D40A86">
        <w:t>REFERENCES:</w:t>
      </w:r>
    </w:p>
    <w:p w:rsidR="00BA177D" w:rsidRPr="00D40A86" w:rsidRDefault="00BA177D" w:rsidP="000429AB">
      <w:pPr>
        <w:spacing w:before="120" w:after="60"/>
        <w:rPr>
          <w:rFonts w:cs="Calibri"/>
        </w:rPr>
      </w:pPr>
      <w:hyperlink r:id="rId9" w:history="1">
        <w:r w:rsidRPr="00D40A86">
          <w:rPr>
            <w:rFonts w:cs="Calibri"/>
          </w:rPr>
          <w:t>Lange RT</w:t>
        </w:r>
      </w:hyperlink>
      <w:r w:rsidRPr="00D40A86">
        <w:rPr>
          <w:rFonts w:cs="Calibri"/>
        </w:rPr>
        <w:t xml:space="preserve">, </w:t>
      </w:r>
      <w:hyperlink r:id="rId10" w:history="1">
        <w:r w:rsidRPr="00D40A86">
          <w:rPr>
            <w:rFonts w:cs="Calibri"/>
          </w:rPr>
          <w:t>Iverson GL</w:t>
        </w:r>
      </w:hyperlink>
      <w:r w:rsidRPr="00D40A86">
        <w:rPr>
          <w:rFonts w:cs="Calibri"/>
        </w:rPr>
        <w:t xml:space="preserve">, </w:t>
      </w:r>
      <w:hyperlink r:id="rId11" w:history="1">
        <w:r w:rsidRPr="00D40A86">
          <w:rPr>
            <w:rFonts w:cs="Calibri"/>
          </w:rPr>
          <w:t>Brooks BL</w:t>
        </w:r>
      </w:hyperlink>
      <w:r w:rsidRPr="00D40A86">
        <w:rPr>
          <w:rFonts w:cs="Calibri"/>
        </w:rPr>
        <w:t xml:space="preserve">, &amp; </w:t>
      </w:r>
      <w:hyperlink r:id="rId12" w:history="1">
        <w:r w:rsidRPr="00D40A86">
          <w:rPr>
            <w:rFonts w:cs="Calibri"/>
          </w:rPr>
          <w:t>Rennison VL</w:t>
        </w:r>
      </w:hyperlink>
      <w:r w:rsidRPr="00D40A86">
        <w:rPr>
          <w:rFonts w:cs="Calibri"/>
        </w:rPr>
        <w:t>. (2010). Influence of poor effort on self-reported symptoms and neurocognitive test performance following mild traumatic brain injury. J Clin Exp Neuropsychol, 32, 961-972.</w:t>
      </w:r>
    </w:p>
    <w:p w:rsidR="00BA177D" w:rsidRPr="00D40A86" w:rsidRDefault="00BA177D" w:rsidP="000429AB">
      <w:pPr>
        <w:spacing w:before="120" w:after="60"/>
        <w:rPr>
          <w:rFonts w:cs="Calibri"/>
          <w:lang w:val="en"/>
        </w:rPr>
      </w:pPr>
      <w:r w:rsidRPr="00D40A86">
        <w:rPr>
          <w:rFonts w:cs="Calibri"/>
          <w:lang w:val="en"/>
        </w:rPr>
        <w:t>Rees L.M, T.N Tombaugh, D.A Gansler, N.P Moczynski Five validation experiments of the Test of Memory Malinger (TOMM) Psychological Assessment, 10 (1998), pp. 10–20</w:t>
      </w:r>
    </w:p>
    <w:p w:rsidR="00BA177D" w:rsidRPr="00D40A86" w:rsidRDefault="00BA177D" w:rsidP="000429AB">
      <w:pPr>
        <w:spacing w:before="120" w:after="60"/>
        <w:rPr>
          <w:rFonts w:cs="Calibri"/>
          <w:lang w:val="en"/>
        </w:rPr>
      </w:pPr>
      <w:r w:rsidRPr="00D40A86">
        <w:rPr>
          <w:rFonts w:cs="Calibri"/>
          <w:lang w:val="en"/>
        </w:rPr>
        <w:t>Tombaugh, T. N. (1996). Test of Memory Malingering (TOMM). New York: Multi-Health Systems, Inc.</w:t>
      </w:r>
    </w:p>
    <w:p w:rsidR="00BA177D" w:rsidRPr="00D40A86" w:rsidRDefault="00BA177D" w:rsidP="000429AB">
      <w:pPr>
        <w:spacing w:before="120" w:after="60"/>
        <w:rPr>
          <w:rFonts w:cs="Calibri"/>
          <w:lang w:val="en"/>
        </w:rPr>
      </w:pPr>
      <w:r w:rsidRPr="00D40A86">
        <w:rPr>
          <w:rFonts w:cs="Calibri"/>
          <w:lang w:val="en"/>
        </w:rPr>
        <w:t>Tombaugh T.N. The Test of Memory Malingering (TOMM): Normative data from cognitively intact and cognitively impaired individuals. Psychological Assessment, 9 (1997), pp. 260–268</w:t>
      </w:r>
    </w:p>
    <w:p w:rsidR="00BA177D" w:rsidRPr="00D40A86" w:rsidRDefault="00D40A86" w:rsidP="000429AB">
      <w:pPr>
        <w:pStyle w:val="Heading2"/>
        <w:spacing w:before="120" w:after="60"/>
      </w:pPr>
      <w:r>
        <w:br w:type="page"/>
      </w:r>
      <w:r w:rsidR="00BA177D" w:rsidRPr="00D40A86">
        <w:lastRenderedPageBreak/>
        <w:t xml:space="preserve">Victoria Symptom Validity Test </w:t>
      </w:r>
    </w:p>
    <w:p w:rsidR="00BA177D" w:rsidRPr="00D40A86" w:rsidRDefault="00BA177D" w:rsidP="000429AB">
      <w:pPr>
        <w:pStyle w:val="Heading3"/>
        <w:spacing w:before="120" w:after="60"/>
      </w:pPr>
      <w:r w:rsidRPr="00D40A86">
        <w:t>DESCRIPTION:</w:t>
      </w:r>
    </w:p>
    <w:p w:rsidR="00BA177D" w:rsidRPr="00D40A86" w:rsidRDefault="00BA177D" w:rsidP="000429AB">
      <w:pPr>
        <w:spacing w:before="120" w:after="60"/>
        <w:rPr>
          <w:rFonts w:cs="Calibri"/>
        </w:rPr>
      </w:pPr>
      <w:r w:rsidRPr="00D40A86">
        <w:rPr>
          <w:rFonts w:cs="Calibri"/>
        </w:rPr>
        <w:t>The Victoria Symptom Validity Test is a computerized test designed to assess the validity of a patient’s cognitive symptoms. It includes 48 items classified as easy or difficult and employs a forced-choice model. The subject’s score can be compared to what would be expected based on chance alone.</w:t>
      </w:r>
    </w:p>
    <w:p w:rsidR="00BA177D" w:rsidRPr="00D40A86" w:rsidRDefault="00BA177D" w:rsidP="000429AB">
      <w:pPr>
        <w:pStyle w:val="Heading3"/>
        <w:spacing w:before="120" w:after="60"/>
      </w:pPr>
      <w:r w:rsidRPr="00D40A86">
        <w:t xml:space="preserve">PERMISSIBLE VALUES: </w:t>
      </w:r>
    </w:p>
    <w:p w:rsidR="00BA177D" w:rsidRPr="00D40A86" w:rsidRDefault="00BA177D" w:rsidP="000429AB">
      <w:pPr>
        <w:spacing w:before="120" w:after="60"/>
        <w:rPr>
          <w:rFonts w:cs="Calibri"/>
        </w:rPr>
      </w:pPr>
      <w:r w:rsidRPr="00D40A86">
        <w:rPr>
          <w:rFonts w:cs="Calibri"/>
        </w:rPr>
        <w:t xml:space="preserve">Two subscores of 0-24 for each item correct. </w:t>
      </w:r>
    </w:p>
    <w:p w:rsidR="00BA177D" w:rsidRPr="00D40A86" w:rsidRDefault="00BA177D" w:rsidP="000429AB">
      <w:pPr>
        <w:pStyle w:val="Heading3"/>
        <w:spacing w:before="120" w:after="60"/>
      </w:pPr>
      <w:r w:rsidRPr="00D40A86">
        <w:t xml:space="preserve">PROCEDURE: </w:t>
      </w:r>
    </w:p>
    <w:p w:rsidR="00BA177D" w:rsidRPr="00D40A86" w:rsidRDefault="00BA177D" w:rsidP="000429AB">
      <w:pPr>
        <w:spacing w:before="120" w:after="60"/>
        <w:rPr>
          <w:rFonts w:cs="Calibri"/>
        </w:rPr>
      </w:pPr>
      <w:r w:rsidRPr="00D40A86">
        <w:rPr>
          <w:rFonts w:cs="Calibri"/>
        </w:rPr>
        <w:t>Test is individually administered via computer by trained examiners and can be completed in 18-25 minutes.</w:t>
      </w:r>
    </w:p>
    <w:p w:rsidR="00BA177D" w:rsidRPr="00D40A86" w:rsidRDefault="00BA177D" w:rsidP="000429AB">
      <w:pPr>
        <w:pStyle w:val="Heading3"/>
        <w:spacing w:before="120" w:after="60"/>
      </w:pPr>
      <w:r w:rsidRPr="00D40A86">
        <w:t>COMMENTS:</w:t>
      </w:r>
    </w:p>
    <w:p w:rsidR="00BA177D" w:rsidRPr="00D40A86" w:rsidRDefault="00BA177D" w:rsidP="000429AB">
      <w:pPr>
        <w:spacing w:before="120" w:after="60"/>
        <w:rPr>
          <w:rFonts w:cs="Calibri"/>
        </w:rPr>
      </w:pPr>
      <w:r w:rsidRPr="00D40A86">
        <w:rPr>
          <w:rFonts w:cs="Calibri"/>
        </w:rPr>
        <w:t>The test has been validated for use in patients aged 18 to 72 years</w:t>
      </w:r>
    </w:p>
    <w:p w:rsidR="00BA177D" w:rsidRPr="00D40A86" w:rsidRDefault="00BA177D" w:rsidP="000429AB">
      <w:pPr>
        <w:pStyle w:val="Heading3"/>
        <w:spacing w:before="120" w:after="60"/>
      </w:pPr>
      <w:r w:rsidRPr="00D40A86">
        <w:t>RATIONALE:</w:t>
      </w:r>
    </w:p>
    <w:p w:rsidR="00BA177D" w:rsidRPr="00D40A86" w:rsidRDefault="00BA177D" w:rsidP="000429AB">
      <w:pPr>
        <w:spacing w:before="120" w:after="60"/>
        <w:rPr>
          <w:rFonts w:cs="Calibri"/>
        </w:rPr>
      </w:pPr>
      <w:r w:rsidRPr="00D40A86">
        <w:rPr>
          <w:rFonts w:cs="Calibri"/>
        </w:rPr>
        <w:t xml:space="preserve">This symptom validity test has been shown to be sensitive to effort-related problems and to be affected minimally by TBI. Easy to read reports are generated. </w:t>
      </w:r>
    </w:p>
    <w:p w:rsidR="00BA177D" w:rsidRPr="00D40A86" w:rsidRDefault="00BA177D" w:rsidP="000429AB">
      <w:pPr>
        <w:pStyle w:val="Heading3"/>
        <w:spacing w:before="120" w:after="60"/>
      </w:pPr>
      <w:r w:rsidRPr="00D40A86">
        <w:t>REFERENCES:</w:t>
      </w:r>
    </w:p>
    <w:p w:rsidR="00BA177D" w:rsidRPr="00D40A86" w:rsidRDefault="00BA177D" w:rsidP="000429AB">
      <w:pPr>
        <w:spacing w:before="120" w:after="60"/>
        <w:rPr>
          <w:rFonts w:cs="Calibri"/>
        </w:rPr>
      </w:pPr>
      <w:r w:rsidRPr="00D40A86">
        <w:rPr>
          <w:rFonts w:cs="Calibri"/>
        </w:rPr>
        <w:t>Loring DW, Larrabee GJ, Lee GP, Meador KJ. (2007). Victoria Symptom Validity Test performance in a heterogenous clinical sample. Clin Neuropsychologist, 21, 522-531.</w:t>
      </w:r>
    </w:p>
    <w:p w:rsidR="00BA177D" w:rsidRPr="00D40A86" w:rsidRDefault="00BA177D" w:rsidP="000429AB">
      <w:pPr>
        <w:spacing w:before="120" w:after="60"/>
        <w:rPr>
          <w:rFonts w:cs="Calibri"/>
        </w:rPr>
      </w:pPr>
      <w:r w:rsidRPr="00D40A86">
        <w:rPr>
          <w:rFonts w:cs="Calibri"/>
        </w:rPr>
        <w:t>Macciocchi SN, Seel RT, Alderson A, Godsall R. Vic</w:t>
      </w:r>
      <w:hyperlink r:id="rId13" w:history="1">
        <w:r w:rsidRPr="00D40A86">
          <w:rPr>
            <w:rFonts w:cs="Calibri"/>
          </w:rPr>
          <w:t>toria Symptom Validity Test performance in acute severe traumatic brain injury: implications for test interpretation.</w:t>
        </w:r>
      </w:hyperlink>
      <w:r w:rsidRPr="00D40A86">
        <w:rPr>
          <w:rFonts w:cs="Calibri"/>
        </w:rPr>
        <w:t xml:space="preserve"> Arch Clin Neuropsychol. 2006 Aug ;21(5):395-404. Epub 2006 Aug 4.</w:t>
      </w:r>
    </w:p>
    <w:p w:rsidR="00BA177D" w:rsidRPr="00D40A86" w:rsidRDefault="00BA177D" w:rsidP="000429AB">
      <w:pPr>
        <w:spacing w:before="120" w:after="60"/>
        <w:rPr>
          <w:rFonts w:cs="Calibri"/>
        </w:rPr>
      </w:pPr>
      <w:r w:rsidRPr="00D40A86">
        <w:rPr>
          <w:rFonts w:cs="Calibri"/>
        </w:rPr>
        <w:t>Slick, D., Hopp, G., Strauss, E., &amp; Thompson, G. B. (1997). VSVT: Victoria Symptom Validity Test (Version 1.0). Odessa, Florida: Psychological Assessment Resources.</w:t>
      </w:r>
    </w:p>
    <w:sectPr w:rsidR="00BA177D" w:rsidRPr="00D40A86" w:rsidSect="00B5027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A62" w:rsidRDefault="00510A62" w:rsidP="003256BA">
      <w:pPr>
        <w:spacing w:after="0" w:line="240" w:lineRule="auto"/>
      </w:pPr>
      <w:r>
        <w:separator/>
      </w:r>
    </w:p>
  </w:endnote>
  <w:endnote w:type="continuationSeparator" w:id="0">
    <w:p w:rsidR="00510A62" w:rsidRDefault="00510A62"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86" w:rsidRDefault="000429AB" w:rsidP="000429AB">
    <w:pPr>
      <w:tabs>
        <w:tab w:val="left" w:pos="9180"/>
      </w:tabs>
    </w:pPr>
    <w:r>
      <w:t xml:space="preserve">TBI CDE </w:t>
    </w:r>
    <w:r w:rsidRPr="000429AB">
      <w:t>Version 2.0</w:t>
    </w:r>
    <w:r>
      <w:tab/>
    </w:r>
    <w:r w:rsidR="00D40A86">
      <w:fldChar w:fldCharType="begin"/>
    </w:r>
    <w:r w:rsidR="00D40A86">
      <w:instrText xml:space="preserve"> PAGE   \* MERGEFORMAT </w:instrText>
    </w:r>
    <w:r w:rsidR="00D40A86">
      <w:fldChar w:fldCharType="separate"/>
    </w:r>
    <w:r w:rsidR="00E87E06">
      <w:rPr>
        <w:noProof/>
      </w:rPr>
      <w:t>1</w:t>
    </w:r>
    <w:r w:rsidR="00D40A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A62" w:rsidRDefault="00510A62" w:rsidP="003256BA">
      <w:pPr>
        <w:spacing w:after="0" w:line="240" w:lineRule="auto"/>
      </w:pPr>
      <w:r>
        <w:separator/>
      </w:r>
    </w:p>
  </w:footnote>
  <w:footnote w:type="continuationSeparator" w:id="0">
    <w:p w:rsidR="00510A62" w:rsidRDefault="00510A62"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9AB" w:rsidRPr="000429AB" w:rsidRDefault="000429AB" w:rsidP="000429AB">
    <w:pPr>
      <w:pStyle w:val="Heading1"/>
    </w:pPr>
    <w:r w:rsidRPr="000429AB">
      <w:t>Traumatic Brain Injury (TBI) Common Data Element (CDE)</w:t>
    </w:r>
  </w:p>
  <w:p w:rsidR="000429AB" w:rsidRPr="000429AB" w:rsidRDefault="000429AB" w:rsidP="000429AB">
    <w:pPr>
      <w:pStyle w:val="Heading1"/>
    </w:pPr>
    <w:r w:rsidRPr="000429AB">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4"/>
  </w:num>
  <w:num w:numId="4">
    <w:abstractNumId w:val="9"/>
  </w:num>
  <w:num w:numId="5">
    <w:abstractNumId w:val="22"/>
  </w:num>
  <w:num w:numId="6">
    <w:abstractNumId w:val="17"/>
  </w:num>
  <w:num w:numId="7">
    <w:abstractNumId w:val="20"/>
  </w:num>
  <w:num w:numId="8">
    <w:abstractNumId w:val="8"/>
  </w:num>
  <w:num w:numId="9">
    <w:abstractNumId w:val="14"/>
  </w:num>
  <w:num w:numId="10">
    <w:abstractNumId w:val="21"/>
  </w:num>
  <w:num w:numId="11">
    <w:abstractNumId w:val="11"/>
  </w:num>
  <w:num w:numId="12">
    <w:abstractNumId w:val="1"/>
  </w:num>
  <w:num w:numId="13">
    <w:abstractNumId w:val="3"/>
  </w:num>
  <w:num w:numId="14">
    <w:abstractNumId w:val="12"/>
  </w:num>
  <w:num w:numId="15">
    <w:abstractNumId w:val="18"/>
  </w:num>
  <w:num w:numId="16">
    <w:abstractNumId w:val="10"/>
  </w:num>
  <w:num w:numId="17">
    <w:abstractNumId w:val="23"/>
  </w:num>
  <w:num w:numId="18">
    <w:abstractNumId w:val="25"/>
  </w:num>
  <w:num w:numId="19">
    <w:abstractNumId w:val="15"/>
  </w:num>
  <w:num w:numId="20">
    <w:abstractNumId w:val="2"/>
  </w:num>
  <w:num w:numId="21">
    <w:abstractNumId w:val="7"/>
  </w:num>
  <w:num w:numId="22">
    <w:abstractNumId w:val="4"/>
  </w:num>
  <w:num w:numId="23">
    <w:abstractNumId w:val="5"/>
  </w:num>
  <w:num w:numId="24">
    <w:abstractNumId w:val="6"/>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429AB"/>
    <w:rsid w:val="00067485"/>
    <w:rsid w:val="000923C6"/>
    <w:rsid w:val="000C103F"/>
    <w:rsid w:val="000C677D"/>
    <w:rsid w:val="000E4D62"/>
    <w:rsid w:val="00105870"/>
    <w:rsid w:val="00115CFB"/>
    <w:rsid w:val="00133519"/>
    <w:rsid w:val="00137957"/>
    <w:rsid w:val="00151EE1"/>
    <w:rsid w:val="00186B84"/>
    <w:rsid w:val="00195CB7"/>
    <w:rsid w:val="001A1472"/>
    <w:rsid w:val="001B190F"/>
    <w:rsid w:val="001C3A62"/>
    <w:rsid w:val="001D4F0B"/>
    <w:rsid w:val="00201DB9"/>
    <w:rsid w:val="0022540E"/>
    <w:rsid w:val="0023143B"/>
    <w:rsid w:val="00257409"/>
    <w:rsid w:val="0026399F"/>
    <w:rsid w:val="0026667A"/>
    <w:rsid w:val="00272AF0"/>
    <w:rsid w:val="002772D0"/>
    <w:rsid w:val="00283B0C"/>
    <w:rsid w:val="002A76D8"/>
    <w:rsid w:val="002B2DCC"/>
    <w:rsid w:val="002E0240"/>
    <w:rsid w:val="002F045A"/>
    <w:rsid w:val="003017B7"/>
    <w:rsid w:val="003256BA"/>
    <w:rsid w:val="00331FE7"/>
    <w:rsid w:val="00362150"/>
    <w:rsid w:val="003632F5"/>
    <w:rsid w:val="0038142D"/>
    <w:rsid w:val="00390AFC"/>
    <w:rsid w:val="00397664"/>
    <w:rsid w:val="003A10E2"/>
    <w:rsid w:val="003A684C"/>
    <w:rsid w:val="003A71F0"/>
    <w:rsid w:val="003C1198"/>
    <w:rsid w:val="003C5959"/>
    <w:rsid w:val="003D1229"/>
    <w:rsid w:val="003D1E85"/>
    <w:rsid w:val="003F48E0"/>
    <w:rsid w:val="00407ED8"/>
    <w:rsid w:val="00412771"/>
    <w:rsid w:val="00416C28"/>
    <w:rsid w:val="00425DCE"/>
    <w:rsid w:val="00431050"/>
    <w:rsid w:val="00436F2C"/>
    <w:rsid w:val="00440B65"/>
    <w:rsid w:val="00446D34"/>
    <w:rsid w:val="00451F71"/>
    <w:rsid w:val="00472EB4"/>
    <w:rsid w:val="004A1A0B"/>
    <w:rsid w:val="004A6DFA"/>
    <w:rsid w:val="004A7991"/>
    <w:rsid w:val="004B766F"/>
    <w:rsid w:val="004E73A8"/>
    <w:rsid w:val="00510A62"/>
    <w:rsid w:val="00552A1A"/>
    <w:rsid w:val="0057055B"/>
    <w:rsid w:val="00571C71"/>
    <w:rsid w:val="00575537"/>
    <w:rsid w:val="00577465"/>
    <w:rsid w:val="005779AF"/>
    <w:rsid w:val="00595C38"/>
    <w:rsid w:val="00597B14"/>
    <w:rsid w:val="005A7A94"/>
    <w:rsid w:val="005D1371"/>
    <w:rsid w:val="005D3954"/>
    <w:rsid w:val="005E172F"/>
    <w:rsid w:val="005F2C7C"/>
    <w:rsid w:val="005F4802"/>
    <w:rsid w:val="0061104A"/>
    <w:rsid w:val="006126F3"/>
    <w:rsid w:val="00641332"/>
    <w:rsid w:val="0064276E"/>
    <w:rsid w:val="00656917"/>
    <w:rsid w:val="006A6ED8"/>
    <w:rsid w:val="006B58A1"/>
    <w:rsid w:val="006D24E0"/>
    <w:rsid w:val="006F24CB"/>
    <w:rsid w:val="006F327D"/>
    <w:rsid w:val="006F58D1"/>
    <w:rsid w:val="00715490"/>
    <w:rsid w:val="00715E1B"/>
    <w:rsid w:val="0073451E"/>
    <w:rsid w:val="00747374"/>
    <w:rsid w:val="00747B7F"/>
    <w:rsid w:val="00757EB8"/>
    <w:rsid w:val="00761F5E"/>
    <w:rsid w:val="0079543B"/>
    <w:rsid w:val="007A1862"/>
    <w:rsid w:val="007A76D2"/>
    <w:rsid w:val="008122AB"/>
    <w:rsid w:val="0082143F"/>
    <w:rsid w:val="0083461E"/>
    <w:rsid w:val="00837790"/>
    <w:rsid w:val="008517B1"/>
    <w:rsid w:val="00865F08"/>
    <w:rsid w:val="008711D5"/>
    <w:rsid w:val="00872036"/>
    <w:rsid w:val="00892BFF"/>
    <w:rsid w:val="0089414D"/>
    <w:rsid w:val="00896C1C"/>
    <w:rsid w:val="00897A76"/>
    <w:rsid w:val="008D53AA"/>
    <w:rsid w:val="008E024A"/>
    <w:rsid w:val="008F3218"/>
    <w:rsid w:val="008F563C"/>
    <w:rsid w:val="00915661"/>
    <w:rsid w:val="0095430C"/>
    <w:rsid w:val="00957C3D"/>
    <w:rsid w:val="009877E3"/>
    <w:rsid w:val="00994F6F"/>
    <w:rsid w:val="009D6578"/>
    <w:rsid w:val="009E2D7C"/>
    <w:rsid w:val="009E4116"/>
    <w:rsid w:val="009F3D95"/>
    <w:rsid w:val="00A01395"/>
    <w:rsid w:val="00A113F5"/>
    <w:rsid w:val="00A342B0"/>
    <w:rsid w:val="00A354C6"/>
    <w:rsid w:val="00A43D8E"/>
    <w:rsid w:val="00A50916"/>
    <w:rsid w:val="00A63F3F"/>
    <w:rsid w:val="00A668FE"/>
    <w:rsid w:val="00A67C62"/>
    <w:rsid w:val="00A771A0"/>
    <w:rsid w:val="00A77ED9"/>
    <w:rsid w:val="00A91A68"/>
    <w:rsid w:val="00A942DF"/>
    <w:rsid w:val="00AC68C0"/>
    <w:rsid w:val="00AD42B7"/>
    <w:rsid w:val="00AE19BF"/>
    <w:rsid w:val="00B146A6"/>
    <w:rsid w:val="00B33EFA"/>
    <w:rsid w:val="00B34FCC"/>
    <w:rsid w:val="00B35A36"/>
    <w:rsid w:val="00B37CE3"/>
    <w:rsid w:val="00B50270"/>
    <w:rsid w:val="00B55883"/>
    <w:rsid w:val="00B71CE2"/>
    <w:rsid w:val="00B74F2C"/>
    <w:rsid w:val="00B808CD"/>
    <w:rsid w:val="00B840F4"/>
    <w:rsid w:val="00B92FE1"/>
    <w:rsid w:val="00BA177D"/>
    <w:rsid w:val="00BB167B"/>
    <w:rsid w:val="00BD7D4C"/>
    <w:rsid w:val="00BE295B"/>
    <w:rsid w:val="00C02CD4"/>
    <w:rsid w:val="00C1442F"/>
    <w:rsid w:val="00C638D1"/>
    <w:rsid w:val="00C657EB"/>
    <w:rsid w:val="00C6740D"/>
    <w:rsid w:val="00C80913"/>
    <w:rsid w:val="00C83AC8"/>
    <w:rsid w:val="00C926B3"/>
    <w:rsid w:val="00CD5942"/>
    <w:rsid w:val="00CE6A31"/>
    <w:rsid w:val="00CF3C01"/>
    <w:rsid w:val="00D40A86"/>
    <w:rsid w:val="00D44C4D"/>
    <w:rsid w:val="00D468A6"/>
    <w:rsid w:val="00D61192"/>
    <w:rsid w:val="00D84A13"/>
    <w:rsid w:val="00D942BF"/>
    <w:rsid w:val="00DD6C49"/>
    <w:rsid w:val="00E0090D"/>
    <w:rsid w:val="00E20EB1"/>
    <w:rsid w:val="00E41FF2"/>
    <w:rsid w:val="00E51D1C"/>
    <w:rsid w:val="00E53B4C"/>
    <w:rsid w:val="00E712E2"/>
    <w:rsid w:val="00E85E53"/>
    <w:rsid w:val="00E87E06"/>
    <w:rsid w:val="00EB5061"/>
    <w:rsid w:val="00EF4835"/>
    <w:rsid w:val="00F173F8"/>
    <w:rsid w:val="00F17B5E"/>
    <w:rsid w:val="00F22CE7"/>
    <w:rsid w:val="00F407D7"/>
    <w:rsid w:val="00F517A6"/>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BA633EC-982C-4280-94BB-6369ACA3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0429AB"/>
    <w:pPr>
      <w:spacing w:after="0"/>
      <w:jc w:val="center"/>
      <w:outlineLvl w:val="0"/>
    </w:pPr>
    <w:rPr>
      <w:rFonts w:cs="Calibri"/>
      <w:b/>
      <w:sz w:val="28"/>
    </w:rPr>
  </w:style>
  <w:style w:type="paragraph" w:styleId="Heading2">
    <w:name w:val="heading 2"/>
    <w:basedOn w:val="Normal"/>
    <w:next w:val="Normal"/>
    <w:link w:val="Heading2Char"/>
    <w:uiPriority w:val="9"/>
    <w:unhideWhenUsed/>
    <w:qFormat/>
    <w:rsid w:val="000429AB"/>
    <w:pPr>
      <w:outlineLvl w:val="1"/>
    </w:pPr>
    <w:rPr>
      <w:rFonts w:cs="Calibri"/>
      <w:b/>
      <w:sz w:val="24"/>
      <w:szCs w:val="24"/>
    </w:rPr>
  </w:style>
  <w:style w:type="paragraph" w:styleId="Heading3">
    <w:name w:val="heading 3"/>
    <w:basedOn w:val="Normal"/>
    <w:next w:val="Default"/>
    <w:link w:val="Heading3Char"/>
    <w:uiPriority w:val="99"/>
    <w:qFormat/>
    <w:rsid w:val="000429AB"/>
    <w:pPr>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9"/>
    <w:rsid w:val="000429AB"/>
    <w:rPr>
      <w:rFonts w:cs="Calibri"/>
      <w:b/>
      <w:sz w:val="22"/>
      <w:szCs w:val="22"/>
    </w:rPr>
  </w:style>
  <w:style w:type="character" w:styleId="Strong">
    <w:name w:val="Strong"/>
    <w:basedOn w:val="DefaultParagraphFont"/>
    <w:uiPriority w:val="22"/>
    <w:qFormat/>
    <w:rsid w:val="002B2DCC"/>
    <w:rPr>
      <w:b/>
      <w:bCs/>
    </w:rPr>
  </w:style>
  <w:style w:type="character" w:styleId="Hyperlink">
    <w:name w:val="Hyperlink"/>
    <w:basedOn w:val="DefaultParagraphFont"/>
    <w:uiPriority w:val="99"/>
    <w:unhideWhenUsed/>
    <w:rsid w:val="00A668FE"/>
    <w:rPr>
      <w:strike w:val="0"/>
      <w:dstrike w:val="0"/>
      <w:color w:val="0000FF"/>
      <w:u w:val="single"/>
      <w:effect w:val="none"/>
    </w:rPr>
  </w:style>
  <w:style w:type="character" w:customStyle="1" w:styleId="ncitalic1">
    <w:name w:val="ncitalic1"/>
    <w:basedOn w:val="DefaultParagraphFont"/>
    <w:rsid w:val="00A668FE"/>
    <w:rPr>
      <w:i/>
      <w:iCs/>
      <w:color w:val="000000"/>
    </w:rPr>
  </w:style>
  <w:style w:type="character" w:customStyle="1" w:styleId="meta">
    <w:name w:val="meta"/>
    <w:basedOn w:val="DefaultParagraphFont"/>
    <w:rsid w:val="00AD42B7"/>
  </w:style>
  <w:style w:type="character" w:styleId="FollowedHyperlink">
    <w:name w:val="FollowedHyperlink"/>
    <w:basedOn w:val="DefaultParagraphFont"/>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basedOn w:val="DefaultParagraphFont"/>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basedOn w:val="DefaultParagraphFont"/>
    <w:rsid w:val="00331FE7"/>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basedOn w:val="CommentText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basedOn w:val="DefaultParagraphFont"/>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basedOn w:val="DefaultParagraphFont"/>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basedOn w:val="DefaultParagraphFont"/>
    <w:link w:val="Heading1"/>
    <w:uiPriority w:val="9"/>
    <w:rsid w:val="000429AB"/>
    <w:rPr>
      <w:rFonts w:cs="Calibri"/>
      <w:b/>
      <w:sz w:val="28"/>
      <w:szCs w:val="22"/>
    </w:rPr>
  </w:style>
  <w:style w:type="character" w:customStyle="1" w:styleId="Heading2Char">
    <w:name w:val="Heading 2 Char"/>
    <w:basedOn w:val="DefaultParagraphFont"/>
    <w:link w:val="Heading2"/>
    <w:uiPriority w:val="9"/>
    <w:rsid w:val="000429AB"/>
    <w:rPr>
      <w:rFonts w:cs="Calibri"/>
      <w:b/>
      <w:sz w:val="24"/>
      <w:szCs w:val="24"/>
    </w:rPr>
  </w:style>
  <w:style w:type="paragraph" w:styleId="Caption">
    <w:name w:val="caption"/>
    <w:basedOn w:val="Normal"/>
    <w:next w:val="Normal"/>
    <w:uiPriority w:val="35"/>
    <w:unhideWhenUsed/>
    <w:qFormat/>
    <w:rsid w:val="000429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rmistead-Jehle%20P%5BAuthor%5D&amp;cauthor=true&amp;cauthor_uid=20146122" TargetMode="External"/><Relationship Id="rId13" Type="http://schemas.openxmlformats.org/officeDocument/2006/relationships/hyperlink" Target="http://www.ncbi.nlm.nih.gov/pubmed/168899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Rennison%20VL%5BAuthor%5D&amp;cauthor=true&amp;cauthor_uid=204372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Brooks%20BL%5BAuthor%5D&amp;cauthor=true&amp;cauthor_uid=204372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i.nlm.nih.gov/pubmed?term=Iverson%20GL%5BAuthor%5D&amp;cauthor=true&amp;cauthor_uid=20437284" TargetMode="External"/><Relationship Id="rId4" Type="http://schemas.openxmlformats.org/officeDocument/2006/relationships/settings" Target="settings.xml"/><Relationship Id="rId9" Type="http://schemas.openxmlformats.org/officeDocument/2006/relationships/hyperlink" Target="http://www.ncbi.nlm.nih.gov/pubmed?term=Lange%20RT%5BAuthor%5D&amp;cauthor=true&amp;cauthor_uid=2043728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444A0-FE37-458E-B596-6F5AF406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7906</CharactersWithSpaces>
  <SharedDoc>false</SharedDoc>
  <HLinks>
    <vt:vector size="36" baseType="variant">
      <vt:variant>
        <vt:i4>3342369</vt:i4>
      </vt:variant>
      <vt:variant>
        <vt:i4>15</vt:i4>
      </vt:variant>
      <vt:variant>
        <vt:i4>0</vt:i4>
      </vt:variant>
      <vt:variant>
        <vt:i4>5</vt:i4>
      </vt:variant>
      <vt:variant>
        <vt:lpwstr>http://www.ncbi.nlm.nih.gov/pubmed/16889930</vt:lpwstr>
      </vt:variant>
      <vt:variant>
        <vt:lpwstr/>
      </vt:variant>
      <vt:variant>
        <vt:i4>2490376</vt:i4>
      </vt:variant>
      <vt:variant>
        <vt:i4>12</vt:i4>
      </vt:variant>
      <vt:variant>
        <vt:i4>0</vt:i4>
      </vt:variant>
      <vt:variant>
        <vt:i4>5</vt:i4>
      </vt:variant>
      <vt:variant>
        <vt:lpwstr>http://www.ncbi.nlm.nih.gov/pubmed?term=Rennison%20VL%5BAuthor%5D&amp;cauthor=true&amp;cauthor_uid=20437284</vt:lpwstr>
      </vt:variant>
      <vt:variant>
        <vt:lpwstr/>
      </vt:variant>
      <vt:variant>
        <vt:i4>4849780</vt:i4>
      </vt:variant>
      <vt:variant>
        <vt:i4>9</vt:i4>
      </vt:variant>
      <vt:variant>
        <vt:i4>0</vt:i4>
      </vt:variant>
      <vt:variant>
        <vt:i4>5</vt:i4>
      </vt:variant>
      <vt:variant>
        <vt:lpwstr>http://www.ncbi.nlm.nih.gov/pubmed?term=Brooks%20BL%5BAuthor%5D&amp;cauthor=true&amp;cauthor_uid=20437284</vt:lpwstr>
      </vt:variant>
      <vt:variant>
        <vt:lpwstr/>
      </vt:variant>
      <vt:variant>
        <vt:i4>4718645</vt:i4>
      </vt:variant>
      <vt:variant>
        <vt:i4>6</vt:i4>
      </vt:variant>
      <vt:variant>
        <vt:i4>0</vt:i4>
      </vt:variant>
      <vt:variant>
        <vt:i4>5</vt:i4>
      </vt:variant>
      <vt:variant>
        <vt:lpwstr>http://www.ncbi.nlm.nih.gov/pubmed?term=Iverson%20GL%5BAuthor%5D&amp;cauthor=true&amp;cauthor_uid=20437284</vt:lpwstr>
      </vt:variant>
      <vt:variant>
        <vt:lpwstr/>
      </vt:variant>
      <vt:variant>
        <vt:i4>3997782</vt:i4>
      </vt:variant>
      <vt:variant>
        <vt:i4>3</vt:i4>
      </vt:variant>
      <vt:variant>
        <vt:i4>0</vt:i4>
      </vt:variant>
      <vt:variant>
        <vt:i4>5</vt:i4>
      </vt:variant>
      <vt:variant>
        <vt:lpwstr>http://www.ncbi.nlm.nih.gov/pubmed?term=Lange%20RT%5BAuthor%5D&amp;cauthor=true&amp;cauthor_uid=20437284</vt:lpwstr>
      </vt:variant>
      <vt:variant>
        <vt:lpwstr/>
      </vt:variant>
      <vt:variant>
        <vt:i4>4522036</vt:i4>
      </vt:variant>
      <vt:variant>
        <vt:i4>0</vt:i4>
      </vt:variant>
      <vt:variant>
        <vt:i4>0</vt:i4>
      </vt:variant>
      <vt:variant>
        <vt:i4>5</vt:i4>
      </vt:variant>
      <vt:variant>
        <vt:lpwstr>http://www.ncbi.nlm.nih.gov/pubmed?term=Armistead-Jehle%20P%5BAuthor%5D&amp;cauthor=true&amp;cauthor_uid=20146122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(TBI) Common Data Element (CDE)Outcome Measure Recommendations</dc:title>
  <dc:subject>CRF</dc:subject>
  <dc:creator>NINDS</dc:creator>
  <cp:keywords>NINDS, CRF, Traumatic Brain Injury (TBI) Common Data Element (CDE)Outcome Measure Recommendations</cp:keywords>
  <cp:lastModifiedBy>Andy Franklin</cp:lastModifiedBy>
  <cp:revision>2</cp:revision>
  <dcterms:created xsi:type="dcterms:W3CDTF">2014-05-15T16:10:00Z</dcterms:created>
  <dcterms:modified xsi:type="dcterms:W3CDTF">2014-05-15T16:10:00Z</dcterms:modified>
  <cp:category>CRF</cp:category>
  <cp:contentStatus>508 Compliant</cp:contentStatus>
</cp:coreProperties>
</file>