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22D" w:rsidRPr="00D6773B" w:rsidRDefault="008D222D" w:rsidP="00D6773B">
      <w:pPr>
        <w:pStyle w:val="Heading2"/>
      </w:pPr>
      <w:r w:rsidRPr="00D6773B">
        <w:t xml:space="preserve">Outcome Domain: </w:t>
      </w:r>
    </w:p>
    <w:p w:rsidR="008D222D" w:rsidRDefault="008D222D" w:rsidP="008D222D">
      <w:pPr>
        <w:rPr>
          <w:rFonts w:cs="Calibri"/>
        </w:rPr>
      </w:pPr>
      <w:r w:rsidRPr="008D222D">
        <w:rPr>
          <w:rFonts w:cs="Calibri"/>
        </w:rPr>
        <w:t>Perceived Generic and Disease-Specific Health-Related Quality of Life</w:t>
      </w:r>
    </w:p>
    <w:p w:rsidR="008D222D" w:rsidRPr="00D6773B" w:rsidRDefault="008D222D" w:rsidP="00D6773B">
      <w:pPr>
        <w:pStyle w:val="Heading3"/>
      </w:pPr>
      <w:r w:rsidRPr="00D6773B">
        <w:t xml:space="preserve">Domain Description and Relevance in TBI: </w:t>
      </w:r>
    </w:p>
    <w:p w:rsidR="008D222D" w:rsidRPr="00EA5A33" w:rsidRDefault="008D222D" w:rsidP="008D222D">
      <w:pPr>
        <w:rPr>
          <w:rFonts w:cs="Calibri"/>
        </w:rPr>
      </w:pPr>
      <w:r>
        <w:rPr>
          <w:rFonts w:cs="Calibri"/>
        </w:rPr>
        <w:t>“</w:t>
      </w:r>
      <w:r w:rsidRPr="008D222D">
        <w:rPr>
          <w:rFonts w:cs="Calibri"/>
        </w:rPr>
        <w:t>TBI may create significant limitations in multiple areas of functioning and well-being, often reducing perceived quality of life with regard to multiple generic and disease specific dimensions.</w:t>
      </w:r>
      <w:r>
        <w:rPr>
          <w:rFonts w:cs="Calibri"/>
        </w:rPr>
        <w:t>”</w:t>
      </w:r>
      <w:r w:rsidRPr="00653E0A">
        <w:rPr>
          <w:rFonts w:cs="Calibri"/>
        </w:rPr>
        <w:t xml:space="preserve"> </w:t>
      </w:r>
      <w:r>
        <w:rPr>
          <w:rFonts w:cs="Calibri"/>
        </w:rPr>
        <w:t>– Wilde et al 2010</w:t>
      </w:r>
    </w:p>
    <w:p w:rsidR="00D6773B" w:rsidRDefault="00D6773B" w:rsidP="00D6773B">
      <w:pPr>
        <w:pStyle w:val="Caption"/>
        <w:keepNext/>
      </w:pPr>
      <w:r>
        <w:t xml:space="preserve">Table </w:t>
      </w:r>
      <w:fldSimple w:instr=" SEQ Table \* ARABIC ">
        <w:r>
          <w:rPr>
            <w:noProof/>
          </w:rPr>
          <w:t>1</w:t>
        </w:r>
      </w:fldSimple>
      <w:r>
        <w:t xml:space="preserve"> </w:t>
      </w:r>
      <w:r w:rsidRPr="008E4B04">
        <w:t>CDE Classification by Type of TBI Study and Relevant Population for Recommended Perceived Generic and Disease-Specific Health-Related Quality of Life Outcome Measures.</w:t>
      </w:r>
    </w:p>
    <w:tbl>
      <w:tblPr>
        <w:tblW w:w="9180" w:type="dxa"/>
        <w:tblInd w:w="108" w:type="dxa"/>
        <w:tblLayout w:type="fixed"/>
        <w:tblLook w:val="04A0" w:firstRow="1" w:lastRow="0" w:firstColumn="1" w:lastColumn="0" w:noHBand="0" w:noVBand="1"/>
      </w:tblPr>
      <w:tblGrid>
        <w:gridCol w:w="1890"/>
        <w:gridCol w:w="1170"/>
        <w:gridCol w:w="1530"/>
        <w:gridCol w:w="1530"/>
        <w:gridCol w:w="1530"/>
        <w:gridCol w:w="1530"/>
      </w:tblGrid>
      <w:tr w:rsidR="008D222D" w:rsidRPr="005463F4" w:rsidTr="00D6773B">
        <w:trPr>
          <w:cantSplit/>
          <w:trHeight w:val="600"/>
          <w:tblHeader/>
        </w:trPr>
        <w:tc>
          <w:tcPr>
            <w:tcW w:w="1890" w:type="dxa"/>
            <w:tcBorders>
              <w:top w:val="single" w:sz="4" w:space="0" w:color="auto"/>
              <w:left w:val="single" w:sz="4" w:space="0" w:color="auto"/>
              <w:bottom w:val="single" w:sz="4" w:space="0" w:color="auto"/>
              <w:right w:val="single" w:sz="4" w:space="0" w:color="auto"/>
            </w:tcBorders>
            <w:shd w:val="clear" w:color="000000" w:fill="FFFFFF"/>
            <w:hideMark/>
          </w:tcPr>
          <w:p w:rsidR="008D222D" w:rsidRPr="00D6773B" w:rsidRDefault="008D222D" w:rsidP="008D222D">
            <w:pPr>
              <w:spacing w:after="0" w:line="240" w:lineRule="auto"/>
              <w:jc w:val="center"/>
              <w:rPr>
                <w:rFonts w:eastAsia="Times New Roman" w:cs="Calibri"/>
                <w:bCs/>
                <w:sz w:val="20"/>
                <w:szCs w:val="20"/>
              </w:rPr>
            </w:pPr>
            <w:r w:rsidRPr="00D6773B">
              <w:rPr>
                <w:rFonts w:eastAsia="Times New Roman" w:cs="Calibri"/>
                <w:bCs/>
                <w:sz w:val="20"/>
                <w:szCs w:val="20"/>
              </w:rPr>
              <w:t>Outcome Measure Name</w:t>
            </w:r>
          </w:p>
        </w:tc>
        <w:tc>
          <w:tcPr>
            <w:tcW w:w="1170" w:type="dxa"/>
            <w:tcBorders>
              <w:top w:val="single" w:sz="4" w:space="0" w:color="auto"/>
              <w:left w:val="nil"/>
              <w:bottom w:val="single" w:sz="4" w:space="0" w:color="auto"/>
              <w:right w:val="single" w:sz="4" w:space="0" w:color="auto"/>
            </w:tcBorders>
            <w:shd w:val="clear" w:color="000000" w:fill="FFFFFF"/>
            <w:hideMark/>
          </w:tcPr>
          <w:p w:rsidR="008D222D" w:rsidRPr="00D6773B" w:rsidRDefault="008D222D" w:rsidP="008D222D">
            <w:pPr>
              <w:spacing w:after="0" w:line="240" w:lineRule="auto"/>
              <w:jc w:val="center"/>
              <w:rPr>
                <w:rFonts w:eastAsia="Times New Roman" w:cs="Calibri"/>
                <w:bCs/>
                <w:sz w:val="20"/>
                <w:szCs w:val="20"/>
              </w:rPr>
            </w:pPr>
            <w:r w:rsidRPr="00D6773B">
              <w:rPr>
                <w:rFonts w:eastAsia="Times New Roman" w:cs="Calibri"/>
                <w:bCs/>
                <w:sz w:val="20"/>
                <w:szCs w:val="20"/>
              </w:rPr>
              <w:t>Relevant TBI Population</w:t>
            </w:r>
          </w:p>
        </w:tc>
        <w:tc>
          <w:tcPr>
            <w:tcW w:w="1530" w:type="dxa"/>
            <w:tcBorders>
              <w:top w:val="single" w:sz="4" w:space="0" w:color="auto"/>
              <w:left w:val="nil"/>
              <w:bottom w:val="single" w:sz="4" w:space="0" w:color="auto"/>
              <w:right w:val="single" w:sz="4" w:space="0" w:color="auto"/>
            </w:tcBorders>
            <w:shd w:val="clear" w:color="000000" w:fill="FFFFFF"/>
            <w:hideMark/>
          </w:tcPr>
          <w:p w:rsidR="008D222D" w:rsidRPr="00D6773B" w:rsidRDefault="008D222D" w:rsidP="008D222D">
            <w:pPr>
              <w:spacing w:after="0" w:line="240" w:lineRule="auto"/>
              <w:jc w:val="center"/>
              <w:rPr>
                <w:rFonts w:eastAsia="Times New Roman" w:cs="Calibri"/>
                <w:bCs/>
                <w:sz w:val="20"/>
                <w:szCs w:val="20"/>
              </w:rPr>
            </w:pPr>
            <w:r w:rsidRPr="00D6773B">
              <w:rPr>
                <w:rFonts w:eastAsia="Times New Roman" w:cs="Calibri"/>
                <w:bCs/>
                <w:sz w:val="20"/>
                <w:szCs w:val="20"/>
              </w:rPr>
              <w:t>Acute Hospitalized</w:t>
            </w:r>
          </w:p>
        </w:tc>
        <w:tc>
          <w:tcPr>
            <w:tcW w:w="1530" w:type="dxa"/>
            <w:tcBorders>
              <w:top w:val="single" w:sz="4" w:space="0" w:color="auto"/>
              <w:left w:val="nil"/>
              <w:bottom w:val="single" w:sz="4" w:space="0" w:color="auto"/>
              <w:right w:val="single" w:sz="4" w:space="0" w:color="auto"/>
            </w:tcBorders>
            <w:shd w:val="clear" w:color="000000" w:fill="FFFFFF"/>
            <w:hideMark/>
          </w:tcPr>
          <w:p w:rsidR="008D222D" w:rsidRPr="00D6773B" w:rsidRDefault="008D222D" w:rsidP="008D222D">
            <w:pPr>
              <w:spacing w:after="0" w:line="240" w:lineRule="auto"/>
              <w:jc w:val="center"/>
              <w:rPr>
                <w:rFonts w:eastAsia="Times New Roman" w:cs="Calibri"/>
                <w:bCs/>
                <w:sz w:val="20"/>
                <w:szCs w:val="20"/>
              </w:rPr>
            </w:pPr>
            <w:r w:rsidRPr="00D6773B">
              <w:rPr>
                <w:rFonts w:eastAsia="Times New Roman" w:cs="Calibri"/>
                <w:bCs/>
                <w:sz w:val="20"/>
                <w:szCs w:val="20"/>
              </w:rPr>
              <w:t>Moderate/ Severe Rehabilitation</w:t>
            </w:r>
          </w:p>
        </w:tc>
        <w:tc>
          <w:tcPr>
            <w:tcW w:w="1530" w:type="dxa"/>
            <w:tcBorders>
              <w:top w:val="single" w:sz="4" w:space="0" w:color="auto"/>
              <w:left w:val="nil"/>
              <w:bottom w:val="single" w:sz="4" w:space="0" w:color="auto"/>
              <w:right w:val="single" w:sz="4" w:space="0" w:color="auto"/>
            </w:tcBorders>
            <w:shd w:val="clear" w:color="000000" w:fill="FFFFFF"/>
          </w:tcPr>
          <w:p w:rsidR="008D222D" w:rsidRPr="00D6773B" w:rsidRDefault="008D222D" w:rsidP="008D222D">
            <w:pPr>
              <w:spacing w:after="0" w:line="240" w:lineRule="auto"/>
              <w:jc w:val="center"/>
              <w:rPr>
                <w:rFonts w:eastAsia="Times New Roman" w:cs="Calibri"/>
                <w:bCs/>
                <w:sz w:val="20"/>
                <w:szCs w:val="20"/>
              </w:rPr>
            </w:pPr>
            <w:r w:rsidRPr="00D6773B">
              <w:rPr>
                <w:rFonts w:eastAsia="Times New Roman" w:cs="Calibri"/>
                <w:bCs/>
                <w:sz w:val="20"/>
                <w:szCs w:val="20"/>
              </w:rPr>
              <w:t>Concussion/ Mild TBI</w:t>
            </w:r>
          </w:p>
        </w:tc>
        <w:tc>
          <w:tcPr>
            <w:tcW w:w="1530" w:type="dxa"/>
            <w:tcBorders>
              <w:top w:val="single" w:sz="4" w:space="0" w:color="auto"/>
              <w:left w:val="single" w:sz="4" w:space="0" w:color="auto"/>
              <w:bottom w:val="single" w:sz="4" w:space="0" w:color="auto"/>
              <w:right w:val="single" w:sz="4" w:space="0" w:color="auto"/>
            </w:tcBorders>
            <w:shd w:val="clear" w:color="000000" w:fill="FFFFFF"/>
            <w:hideMark/>
          </w:tcPr>
          <w:p w:rsidR="008D222D" w:rsidRPr="00D6773B" w:rsidRDefault="008D222D" w:rsidP="008D222D">
            <w:pPr>
              <w:spacing w:after="0" w:line="240" w:lineRule="auto"/>
              <w:jc w:val="center"/>
              <w:rPr>
                <w:rFonts w:eastAsia="Times New Roman" w:cs="Calibri"/>
                <w:bCs/>
                <w:sz w:val="20"/>
                <w:szCs w:val="20"/>
              </w:rPr>
            </w:pPr>
            <w:r w:rsidRPr="00D6773B">
              <w:rPr>
                <w:rFonts w:eastAsia="Times New Roman" w:cs="Calibri"/>
                <w:bCs/>
                <w:sz w:val="20"/>
                <w:szCs w:val="20"/>
              </w:rPr>
              <w:t>Epidemiology</w:t>
            </w:r>
          </w:p>
        </w:tc>
      </w:tr>
      <w:tr w:rsidR="00F01F6E" w:rsidRPr="00F01F6E" w:rsidTr="00D6773B">
        <w:trPr>
          <w:cantSplit/>
          <w:trHeight w:val="600"/>
        </w:trPr>
        <w:tc>
          <w:tcPr>
            <w:tcW w:w="1890" w:type="dxa"/>
            <w:tcBorders>
              <w:top w:val="single" w:sz="4" w:space="0" w:color="auto"/>
              <w:left w:val="single" w:sz="4" w:space="0" w:color="auto"/>
              <w:bottom w:val="single" w:sz="4" w:space="0" w:color="auto"/>
              <w:right w:val="single" w:sz="4" w:space="0" w:color="auto"/>
            </w:tcBorders>
            <w:shd w:val="clear" w:color="000000" w:fill="FFFFFF"/>
            <w:hideMark/>
          </w:tcPr>
          <w:p w:rsidR="00F01F6E" w:rsidRPr="00F01F6E" w:rsidRDefault="00F01F6E" w:rsidP="008D222D">
            <w:pPr>
              <w:spacing w:after="0" w:line="240" w:lineRule="auto"/>
              <w:jc w:val="center"/>
              <w:rPr>
                <w:rFonts w:eastAsia="Times New Roman" w:cs="Calibri"/>
                <w:bCs/>
                <w:sz w:val="20"/>
                <w:szCs w:val="20"/>
              </w:rPr>
            </w:pPr>
            <w:r w:rsidRPr="00F01F6E">
              <w:rPr>
                <w:rFonts w:eastAsia="Times New Roman" w:cs="Calibri"/>
                <w:bCs/>
                <w:sz w:val="20"/>
                <w:szCs w:val="20"/>
              </w:rPr>
              <w:t>Pediatric Quality of Life Inventory: Generic core</w:t>
            </w:r>
          </w:p>
        </w:tc>
        <w:tc>
          <w:tcPr>
            <w:tcW w:w="1170" w:type="dxa"/>
            <w:tcBorders>
              <w:top w:val="single" w:sz="4" w:space="0" w:color="auto"/>
              <w:left w:val="nil"/>
              <w:bottom w:val="single" w:sz="4" w:space="0" w:color="auto"/>
              <w:right w:val="single" w:sz="4" w:space="0" w:color="auto"/>
            </w:tcBorders>
            <w:shd w:val="clear" w:color="000000" w:fill="FFFFFF"/>
            <w:hideMark/>
          </w:tcPr>
          <w:p w:rsidR="00F01F6E" w:rsidRPr="00F01F6E" w:rsidRDefault="00F01F6E" w:rsidP="008D222D">
            <w:pPr>
              <w:spacing w:after="0" w:line="240" w:lineRule="auto"/>
              <w:jc w:val="center"/>
              <w:rPr>
                <w:rFonts w:eastAsia="Times New Roman" w:cs="Calibri"/>
                <w:bCs/>
                <w:sz w:val="20"/>
                <w:szCs w:val="20"/>
              </w:rPr>
            </w:pPr>
            <w:r w:rsidRPr="00F01F6E">
              <w:rPr>
                <w:rFonts w:eastAsia="Times New Roman" w:cs="Calibri"/>
                <w:bCs/>
                <w:sz w:val="20"/>
                <w:szCs w:val="20"/>
              </w:rPr>
              <w:t>Pediatric TBI</w:t>
            </w:r>
          </w:p>
        </w:tc>
        <w:tc>
          <w:tcPr>
            <w:tcW w:w="1530" w:type="dxa"/>
            <w:tcBorders>
              <w:top w:val="single" w:sz="4" w:space="0" w:color="auto"/>
              <w:left w:val="nil"/>
              <w:bottom w:val="single" w:sz="4" w:space="0" w:color="auto"/>
              <w:right w:val="single" w:sz="4" w:space="0" w:color="auto"/>
            </w:tcBorders>
            <w:shd w:val="clear" w:color="000000" w:fill="FFFFFF"/>
            <w:hideMark/>
          </w:tcPr>
          <w:p w:rsidR="00F01F6E" w:rsidRPr="00F01F6E" w:rsidRDefault="00F01F6E" w:rsidP="008D222D">
            <w:pPr>
              <w:spacing w:after="0" w:line="240" w:lineRule="auto"/>
              <w:jc w:val="center"/>
              <w:rPr>
                <w:rFonts w:eastAsia="Times New Roman" w:cs="Calibri"/>
                <w:bCs/>
                <w:sz w:val="20"/>
                <w:szCs w:val="20"/>
              </w:rPr>
            </w:pPr>
            <w:r w:rsidRPr="00F01F6E">
              <w:rPr>
                <w:rFonts w:eastAsia="Times New Roman" w:cs="Calibri"/>
                <w:bCs/>
                <w:sz w:val="20"/>
                <w:szCs w:val="20"/>
              </w:rPr>
              <w:t>Basic</w:t>
            </w:r>
          </w:p>
        </w:tc>
        <w:tc>
          <w:tcPr>
            <w:tcW w:w="1530" w:type="dxa"/>
            <w:tcBorders>
              <w:top w:val="single" w:sz="4" w:space="0" w:color="auto"/>
              <w:left w:val="nil"/>
              <w:bottom w:val="single" w:sz="4" w:space="0" w:color="auto"/>
              <w:right w:val="single" w:sz="4" w:space="0" w:color="auto"/>
            </w:tcBorders>
            <w:shd w:val="clear" w:color="000000" w:fill="FFFFFF"/>
            <w:hideMark/>
          </w:tcPr>
          <w:p w:rsidR="00F01F6E" w:rsidRPr="00F01F6E" w:rsidRDefault="00F01F6E" w:rsidP="008D222D">
            <w:pPr>
              <w:spacing w:after="0" w:line="240" w:lineRule="auto"/>
              <w:jc w:val="center"/>
              <w:rPr>
                <w:rFonts w:eastAsia="Times New Roman" w:cs="Calibri"/>
                <w:bCs/>
                <w:sz w:val="20"/>
                <w:szCs w:val="20"/>
              </w:rPr>
            </w:pPr>
            <w:r w:rsidRPr="00F01F6E">
              <w:rPr>
                <w:rFonts w:eastAsia="Times New Roman" w:cs="Calibri"/>
                <w:bCs/>
                <w:sz w:val="20"/>
                <w:szCs w:val="20"/>
              </w:rPr>
              <w:t>Basic</w:t>
            </w:r>
          </w:p>
        </w:tc>
        <w:tc>
          <w:tcPr>
            <w:tcW w:w="1530" w:type="dxa"/>
            <w:tcBorders>
              <w:top w:val="single" w:sz="4" w:space="0" w:color="auto"/>
              <w:left w:val="nil"/>
              <w:bottom w:val="single" w:sz="4" w:space="0" w:color="auto"/>
              <w:right w:val="single" w:sz="4" w:space="0" w:color="auto"/>
            </w:tcBorders>
            <w:shd w:val="clear" w:color="000000" w:fill="FFFFFF"/>
          </w:tcPr>
          <w:p w:rsidR="00F01F6E" w:rsidRPr="00F01F6E" w:rsidRDefault="00F01F6E" w:rsidP="008D222D">
            <w:pPr>
              <w:spacing w:after="0" w:line="240" w:lineRule="auto"/>
              <w:jc w:val="center"/>
              <w:rPr>
                <w:rFonts w:eastAsia="Times New Roman" w:cs="Calibri"/>
                <w:bCs/>
                <w:sz w:val="20"/>
                <w:szCs w:val="20"/>
              </w:rPr>
            </w:pPr>
            <w:r w:rsidRPr="00F01F6E">
              <w:rPr>
                <w:rFonts w:eastAsia="Times New Roman" w:cs="Calibri"/>
                <w:bCs/>
                <w:sz w:val="20"/>
                <w:szCs w:val="20"/>
              </w:rPr>
              <w:t>Basic</w:t>
            </w:r>
          </w:p>
        </w:tc>
        <w:tc>
          <w:tcPr>
            <w:tcW w:w="1530" w:type="dxa"/>
            <w:tcBorders>
              <w:top w:val="single" w:sz="4" w:space="0" w:color="auto"/>
              <w:left w:val="single" w:sz="4" w:space="0" w:color="auto"/>
              <w:bottom w:val="single" w:sz="4" w:space="0" w:color="auto"/>
              <w:right w:val="single" w:sz="4" w:space="0" w:color="auto"/>
            </w:tcBorders>
            <w:shd w:val="clear" w:color="000000" w:fill="FFFFFF"/>
            <w:hideMark/>
          </w:tcPr>
          <w:p w:rsidR="00F01F6E" w:rsidRPr="00F01F6E" w:rsidRDefault="00F01F6E" w:rsidP="008D222D">
            <w:pPr>
              <w:spacing w:after="0" w:line="240" w:lineRule="auto"/>
              <w:jc w:val="center"/>
              <w:rPr>
                <w:rFonts w:eastAsia="Times New Roman" w:cs="Calibri"/>
                <w:bCs/>
                <w:sz w:val="20"/>
                <w:szCs w:val="20"/>
              </w:rPr>
            </w:pPr>
            <w:r w:rsidRPr="00F01F6E">
              <w:rPr>
                <w:rFonts w:eastAsia="Times New Roman" w:cs="Calibri"/>
                <w:bCs/>
                <w:sz w:val="20"/>
                <w:szCs w:val="20"/>
              </w:rPr>
              <w:t>Supplemental</w:t>
            </w:r>
          </w:p>
        </w:tc>
      </w:tr>
      <w:tr w:rsidR="008D222D" w:rsidRPr="008D222D" w:rsidTr="00D6773B">
        <w:trPr>
          <w:cantSplit/>
          <w:trHeight w:val="600"/>
        </w:trPr>
        <w:tc>
          <w:tcPr>
            <w:tcW w:w="1890" w:type="dxa"/>
            <w:tcBorders>
              <w:top w:val="single" w:sz="4" w:space="0" w:color="auto"/>
              <w:left w:val="single" w:sz="4" w:space="0" w:color="auto"/>
              <w:bottom w:val="single" w:sz="4" w:space="0" w:color="auto"/>
              <w:right w:val="single" w:sz="4" w:space="0" w:color="auto"/>
            </w:tcBorders>
            <w:shd w:val="clear" w:color="000000" w:fill="FFFFFF"/>
            <w:hideMark/>
          </w:tcPr>
          <w:p w:rsidR="008D222D" w:rsidRPr="008D222D" w:rsidRDefault="008D222D" w:rsidP="008D222D">
            <w:pPr>
              <w:spacing w:after="0" w:line="240" w:lineRule="auto"/>
              <w:jc w:val="center"/>
              <w:rPr>
                <w:rFonts w:eastAsia="Times New Roman" w:cs="Calibri"/>
                <w:bCs/>
                <w:sz w:val="20"/>
                <w:szCs w:val="20"/>
              </w:rPr>
            </w:pPr>
            <w:r w:rsidRPr="008D222D">
              <w:rPr>
                <w:rFonts w:eastAsia="Times New Roman" w:cs="Calibri"/>
                <w:bCs/>
                <w:sz w:val="20"/>
                <w:szCs w:val="20"/>
              </w:rPr>
              <w:t>Quality of Life after Brain Injury (QOLIBRI)</w:t>
            </w:r>
          </w:p>
        </w:tc>
        <w:tc>
          <w:tcPr>
            <w:tcW w:w="1170" w:type="dxa"/>
            <w:tcBorders>
              <w:top w:val="single" w:sz="4" w:space="0" w:color="auto"/>
              <w:left w:val="nil"/>
              <w:bottom w:val="single" w:sz="4" w:space="0" w:color="auto"/>
              <w:right w:val="single" w:sz="4" w:space="0" w:color="auto"/>
            </w:tcBorders>
            <w:shd w:val="clear" w:color="000000" w:fill="FFFFFF"/>
            <w:hideMark/>
          </w:tcPr>
          <w:p w:rsidR="008D222D" w:rsidRPr="008D222D" w:rsidRDefault="008D222D" w:rsidP="008D222D">
            <w:pPr>
              <w:spacing w:after="0" w:line="240" w:lineRule="auto"/>
              <w:jc w:val="center"/>
              <w:rPr>
                <w:rFonts w:eastAsia="Times New Roman" w:cs="Calibri"/>
                <w:bCs/>
                <w:sz w:val="20"/>
                <w:szCs w:val="20"/>
              </w:rPr>
            </w:pPr>
            <w:r w:rsidRPr="008D222D">
              <w:rPr>
                <w:rFonts w:eastAsia="Times New Roman" w:cs="Calibri"/>
                <w:bCs/>
                <w:sz w:val="20"/>
                <w:szCs w:val="20"/>
              </w:rPr>
              <w:t>Adult TBI</w:t>
            </w:r>
          </w:p>
        </w:tc>
        <w:tc>
          <w:tcPr>
            <w:tcW w:w="1530" w:type="dxa"/>
            <w:tcBorders>
              <w:top w:val="single" w:sz="4" w:space="0" w:color="auto"/>
              <w:left w:val="nil"/>
              <w:bottom w:val="single" w:sz="4" w:space="0" w:color="auto"/>
              <w:right w:val="single" w:sz="4" w:space="0" w:color="auto"/>
            </w:tcBorders>
            <w:shd w:val="clear" w:color="000000" w:fill="FFFFFF"/>
            <w:hideMark/>
          </w:tcPr>
          <w:p w:rsidR="008D222D" w:rsidRPr="008D222D" w:rsidRDefault="008D222D" w:rsidP="008D222D">
            <w:pPr>
              <w:spacing w:after="0" w:line="240" w:lineRule="auto"/>
              <w:jc w:val="center"/>
              <w:rPr>
                <w:rFonts w:eastAsia="Times New Roman" w:cs="Calibri"/>
                <w:bCs/>
                <w:sz w:val="20"/>
                <w:szCs w:val="20"/>
              </w:rPr>
            </w:pPr>
            <w:r w:rsidRPr="008D222D">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hideMark/>
          </w:tcPr>
          <w:p w:rsidR="008D222D" w:rsidRPr="008D222D" w:rsidRDefault="008D222D" w:rsidP="008D222D">
            <w:pPr>
              <w:spacing w:after="0" w:line="240" w:lineRule="auto"/>
              <w:jc w:val="center"/>
              <w:rPr>
                <w:rFonts w:eastAsia="Times New Roman" w:cs="Calibri"/>
                <w:bCs/>
                <w:sz w:val="20"/>
                <w:szCs w:val="20"/>
              </w:rPr>
            </w:pPr>
            <w:r w:rsidRPr="008D222D">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tcPr>
          <w:p w:rsidR="008D222D" w:rsidRPr="008D222D" w:rsidRDefault="008D222D" w:rsidP="008D222D">
            <w:pPr>
              <w:spacing w:after="0" w:line="240" w:lineRule="auto"/>
              <w:jc w:val="center"/>
              <w:rPr>
                <w:rFonts w:eastAsia="Times New Roman" w:cs="Calibri"/>
                <w:bCs/>
                <w:sz w:val="20"/>
                <w:szCs w:val="20"/>
              </w:rPr>
            </w:pPr>
            <w:r w:rsidRPr="008D222D">
              <w:rPr>
                <w:rFonts w:eastAsia="Times New Roman" w:cs="Calibri"/>
                <w:bCs/>
                <w:sz w:val="20"/>
                <w:szCs w:val="20"/>
              </w:rPr>
              <w:t>Supplemental</w:t>
            </w:r>
          </w:p>
        </w:tc>
        <w:tc>
          <w:tcPr>
            <w:tcW w:w="1530" w:type="dxa"/>
            <w:tcBorders>
              <w:top w:val="single" w:sz="4" w:space="0" w:color="auto"/>
              <w:left w:val="single" w:sz="4" w:space="0" w:color="auto"/>
              <w:bottom w:val="single" w:sz="4" w:space="0" w:color="auto"/>
              <w:right w:val="single" w:sz="4" w:space="0" w:color="auto"/>
            </w:tcBorders>
            <w:shd w:val="clear" w:color="000000" w:fill="FFFFFF"/>
            <w:hideMark/>
          </w:tcPr>
          <w:p w:rsidR="008D222D" w:rsidRPr="008D222D" w:rsidRDefault="008D222D" w:rsidP="008D222D">
            <w:pPr>
              <w:spacing w:after="0" w:line="240" w:lineRule="auto"/>
              <w:jc w:val="center"/>
              <w:rPr>
                <w:rFonts w:eastAsia="Times New Roman" w:cs="Calibri"/>
                <w:bCs/>
                <w:sz w:val="20"/>
                <w:szCs w:val="20"/>
              </w:rPr>
            </w:pPr>
            <w:r w:rsidRPr="008D222D">
              <w:rPr>
                <w:rFonts w:eastAsia="Times New Roman" w:cs="Calibri"/>
                <w:bCs/>
                <w:sz w:val="20"/>
                <w:szCs w:val="20"/>
              </w:rPr>
              <w:t>Supplemental</w:t>
            </w:r>
          </w:p>
        </w:tc>
      </w:tr>
      <w:tr w:rsidR="008D222D" w:rsidRPr="008D222D" w:rsidTr="00D6773B">
        <w:trPr>
          <w:cantSplit/>
          <w:trHeight w:val="600"/>
        </w:trPr>
        <w:tc>
          <w:tcPr>
            <w:tcW w:w="1890" w:type="dxa"/>
            <w:tcBorders>
              <w:top w:val="single" w:sz="4" w:space="0" w:color="auto"/>
              <w:left w:val="single" w:sz="4" w:space="0" w:color="auto"/>
              <w:bottom w:val="single" w:sz="4" w:space="0" w:color="auto"/>
              <w:right w:val="single" w:sz="4" w:space="0" w:color="auto"/>
            </w:tcBorders>
            <w:shd w:val="clear" w:color="000000" w:fill="FFFFFF"/>
            <w:hideMark/>
          </w:tcPr>
          <w:p w:rsidR="008D222D" w:rsidRPr="008D222D" w:rsidRDefault="008D222D" w:rsidP="008D222D">
            <w:pPr>
              <w:spacing w:after="0" w:line="240" w:lineRule="auto"/>
              <w:jc w:val="center"/>
              <w:rPr>
                <w:rFonts w:eastAsia="Times New Roman" w:cs="Calibri"/>
                <w:bCs/>
                <w:sz w:val="20"/>
                <w:szCs w:val="20"/>
              </w:rPr>
            </w:pPr>
            <w:r w:rsidRPr="008D222D">
              <w:rPr>
                <w:rFonts w:eastAsia="Times New Roman" w:cs="Calibri"/>
                <w:bCs/>
                <w:sz w:val="20"/>
                <w:szCs w:val="20"/>
              </w:rPr>
              <w:t>Satisfaction with Life Scale (SWLS)</w:t>
            </w:r>
          </w:p>
        </w:tc>
        <w:tc>
          <w:tcPr>
            <w:tcW w:w="1170" w:type="dxa"/>
            <w:tcBorders>
              <w:top w:val="single" w:sz="4" w:space="0" w:color="auto"/>
              <w:left w:val="nil"/>
              <w:bottom w:val="single" w:sz="4" w:space="0" w:color="auto"/>
              <w:right w:val="single" w:sz="4" w:space="0" w:color="auto"/>
            </w:tcBorders>
            <w:shd w:val="clear" w:color="000000" w:fill="FFFFFF"/>
            <w:hideMark/>
          </w:tcPr>
          <w:p w:rsidR="008D222D" w:rsidRPr="008D222D" w:rsidRDefault="008D222D" w:rsidP="008D222D">
            <w:pPr>
              <w:spacing w:after="0" w:line="240" w:lineRule="auto"/>
              <w:jc w:val="center"/>
              <w:rPr>
                <w:rFonts w:eastAsia="Times New Roman" w:cs="Calibri"/>
                <w:bCs/>
                <w:sz w:val="20"/>
                <w:szCs w:val="20"/>
              </w:rPr>
            </w:pPr>
            <w:r w:rsidRPr="008D222D">
              <w:rPr>
                <w:rFonts w:eastAsia="Times New Roman" w:cs="Calibri"/>
                <w:bCs/>
                <w:sz w:val="20"/>
                <w:szCs w:val="20"/>
              </w:rPr>
              <w:t>Adult TBI</w:t>
            </w:r>
          </w:p>
        </w:tc>
        <w:tc>
          <w:tcPr>
            <w:tcW w:w="1530" w:type="dxa"/>
            <w:tcBorders>
              <w:top w:val="single" w:sz="4" w:space="0" w:color="auto"/>
              <w:left w:val="nil"/>
              <w:bottom w:val="single" w:sz="4" w:space="0" w:color="auto"/>
              <w:right w:val="single" w:sz="4" w:space="0" w:color="auto"/>
            </w:tcBorders>
            <w:shd w:val="clear" w:color="000000" w:fill="FFFFFF"/>
            <w:hideMark/>
          </w:tcPr>
          <w:p w:rsidR="008D222D" w:rsidRPr="008D222D" w:rsidRDefault="008D222D" w:rsidP="008D222D">
            <w:pPr>
              <w:spacing w:after="0" w:line="240" w:lineRule="auto"/>
              <w:jc w:val="center"/>
              <w:rPr>
                <w:rFonts w:eastAsia="Times New Roman" w:cs="Calibri"/>
                <w:bCs/>
                <w:sz w:val="20"/>
                <w:szCs w:val="20"/>
              </w:rPr>
            </w:pPr>
            <w:r w:rsidRPr="008D222D">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hideMark/>
          </w:tcPr>
          <w:p w:rsidR="008D222D" w:rsidRPr="008D222D" w:rsidRDefault="008D222D" w:rsidP="008D222D">
            <w:pPr>
              <w:spacing w:after="0" w:line="240" w:lineRule="auto"/>
              <w:jc w:val="center"/>
              <w:rPr>
                <w:rFonts w:eastAsia="Times New Roman" w:cs="Calibri"/>
                <w:bCs/>
                <w:sz w:val="20"/>
                <w:szCs w:val="20"/>
              </w:rPr>
            </w:pPr>
            <w:r w:rsidRPr="008D222D">
              <w:rPr>
                <w:rFonts w:eastAsia="Times New Roman" w:cs="Calibri"/>
                <w:bCs/>
                <w:sz w:val="20"/>
                <w:szCs w:val="20"/>
              </w:rPr>
              <w:t>Basic</w:t>
            </w:r>
          </w:p>
        </w:tc>
        <w:tc>
          <w:tcPr>
            <w:tcW w:w="1530" w:type="dxa"/>
            <w:tcBorders>
              <w:top w:val="single" w:sz="4" w:space="0" w:color="auto"/>
              <w:left w:val="nil"/>
              <w:bottom w:val="single" w:sz="4" w:space="0" w:color="auto"/>
              <w:right w:val="single" w:sz="4" w:space="0" w:color="auto"/>
            </w:tcBorders>
            <w:shd w:val="clear" w:color="000000" w:fill="FFFFFF"/>
          </w:tcPr>
          <w:p w:rsidR="008D222D" w:rsidRPr="008D222D" w:rsidRDefault="008D222D" w:rsidP="008D222D">
            <w:pPr>
              <w:spacing w:after="0" w:line="240" w:lineRule="auto"/>
              <w:jc w:val="center"/>
              <w:rPr>
                <w:rFonts w:eastAsia="Times New Roman" w:cs="Calibri"/>
                <w:bCs/>
                <w:sz w:val="20"/>
                <w:szCs w:val="20"/>
              </w:rPr>
            </w:pPr>
            <w:r w:rsidRPr="008D222D">
              <w:rPr>
                <w:rFonts w:eastAsia="Times New Roman" w:cs="Calibri"/>
                <w:bCs/>
                <w:sz w:val="20"/>
                <w:szCs w:val="20"/>
              </w:rPr>
              <w:t>Basic</w:t>
            </w:r>
          </w:p>
        </w:tc>
        <w:tc>
          <w:tcPr>
            <w:tcW w:w="1530" w:type="dxa"/>
            <w:tcBorders>
              <w:top w:val="single" w:sz="4" w:space="0" w:color="auto"/>
              <w:left w:val="single" w:sz="4" w:space="0" w:color="auto"/>
              <w:bottom w:val="single" w:sz="4" w:space="0" w:color="auto"/>
              <w:right w:val="single" w:sz="4" w:space="0" w:color="auto"/>
            </w:tcBorders>
            <w:shd w:val="clear" w:color="000000" w:fill="FFFFFF"/>
            <w:hideMark/>
          </w:tcPr>
          <w:p w:rsidR="008D222D" w:rsidRPr="008D222D" w:rsidRDefault="008D222D" w:rsidP="008D222D">
            <w:pPr>
              <w:spacing w:after="0" w:line="240" w:lineRule="auto"/>
              <w:jc w:val="center"/>
              <w:rPr>
                <w:rFonts w:eastAsia="Times New Roman" w:cs="Calibri"/>
                <w:bCs/>
                <w:sz w:val="20"/>
                <w:szCs w:val="20"/>
              </w:rPr>
            </w:pPr>
            <w:r w:rsidRPr="008D222D">
              <w:rPr>
                <w:rFonts w:eastAsia="Times New Roman" w:cs="Calibri"/>
                <w:bCs/>
                <w:sz w:val="20"/>
                <w:szCs w:val="20"/>
              </w:rPr>
              <w:t>Supplemental</w:t>
            </w:r>
          </w:p>
        </w:tc>
      </w:tr>
    </w:tbl>
    <w:p w:rsidR="008D222D" w:rsidRPr="005463F4" w:rsidRDefault="008D222D" w:rsidP="00D6773B">
      <w:pPr>
        <w:pStyle w:val="Heading3"/>
      </w:pPr>
      <w:r w:rsidRPr="005463F4">
        <w:t>References</w:t>
      </w:r>
    </w:p>
    <w:p w:rsidR="008D222D" w:rsidRDefault="008D222D" w:rsidP="008D222D">
      <w:pPr>
        <w:rPr>
          <w:rFonts w:cs="Calibri"/>
        </w:rPr>
      </w:pPr>
      <w:r w:rsidRPr="005463F4">
        <w:rPr>
          <w:rFonts w:cs="Calibri"/>
        </w:rPr>
        <w:t>McCauley SR, Wilde EA, Anderson VA, Bedell G, Beers SR, Campbell TF, Chapman SB, Ewing-Cobbs L, Gerring JP, Gioia GA, Levin HS, Michaud LJ, Prasad MR, Swaine BR, Turkstra LS, Wade SL, Yeates KO. Recommendations for the Use of Common Outcome Measures in Pediatric Traumatic Brain Injury Research. J Neurotrauma. 2012 March; 29: 678-705. PubMed PMID: 21644810.</w:t>
      </w:r>
    </w:p>
    <w:p w:rsidR="008D222D" w:rsidRPr="006D07FA" w:rsidRDefault="008D222D" w:rsidP="008D222D">
      <w:pPr>
        <w:rPr>
          <w:rFonts w:cs="Calibri"/>
          <w:b/>
        </w:rPr>
      </w:pPr>
      <w:r w:rsidRPr="004233FE">
        <w:rPr>
          <w:rFonts w:cs="Calibri"/>
        </w:rPr>
        <w:t>Wilde EA, Whiteneck GG, Bogner J, Bushnik T, Cifu DX, Dikmen S, French L, Giacino JT, Hart T, Malec JF, Millis SR, Novack TA, Sherer M, Tulsky DS, Vanderploeg RD, von Steinbuechel N. Recommendations for the use of common outcome measures in traumatic brain injury research. Arch Phys Med Rehabil. 2010 Nov;91(11):1650-1660.e17. [DOI: 10.1016/j.apmr.2010.06.033]</w:t>
      </w:r>
    </w:p>
    <w:p w:rsidR="00F01F6E" w:rsidRPr="006D07FA" w:rsidRDefault="008D222D" w:rsidP="00D6773B">
      <w:pPr>
        <w:pStyle w:val="Heading2"/>
      </w:pPr>
      <w:r>
        <w:br w:type="page"/>
      </w:r>
      <w:r w:rsidR="00F01F6E" w:rsidRPr="006D07FA">
        <w:lastRenderedPageBreak/>
        <w:t>Pediatric Quality of Life Inventory (PedsQL)</w:t>
      </w:r>
    </w:p>
    <w:p w:rsidR="00F01F6E" w:rsidRPr="006D07FA" w:rsidRDefault="00F01F6E" w:rsidP="00D6773B">
      <w:pPr>
        <w:pStyle w:val="Heading3"/>
      </w:pPr>
      <w:r w:rsidRPr="006D07FA">
        <w:t>DESCRIPTION</w:t>
      </w:r>
    </w:p>
    <w:p w:rsidR="00F01F6E" w:rsidRPr="006D07FA" w:rsidRDefault="00F01F6E" w:rsidP="00F01F6E">
      <w:pPr>
        <w:spacing w:after="120"/>
        <w:rPr>
          <w:rFonts w:cs="Calibri"/>
        </w:rPr>
      </w:pPr>
      <w:r w:rsidRPr="006D07FA">
        <w:rPr>
          <w:rFonts w:cs="Calibri"/>
        </w:rPr>
        <w:t>The PedsQL is a 23-item measure that can be used to assess health-related quality of life in children. The measure includes items in the domains of physical, emotional, social and school functioning. Age-appropriate child forms are available between the ages of 5 and 18, and parent proxy forms can be used down to age 2. Respondents indicate how much each item has been a problem in the past month; responses for 8-18 year old children and for parents are rated on a 5-point Likert scale, while younger children rate their responses on a 3-point scale. A total score and two summary scores for physical health and psychosocial health can be calculated.</w:t>
      </w:r>
    </w:p>
    <w:p w:rsidR="00F01F6E" w:rsidRPr="006D07FA" w:rsidRDefault="00F01F6E" w:rsidP="00D6773B">
      <w:pPr>
        <w:pStyle w:val="Heading3"/>
      </w:pPr>
      <w:r w:rsidRPr="006D07FA">
        <w:t xml:space="preserve">PERMISSIBLE VALUES </w:t>
      </w:r>
    </w:p>
    <w:p w:rsidR="00F01F6E" w:rsidRPr="006D07FA" w:rsidRDefault="00F01F6E" w:rsidP="00F01F6E">
      <w:pPr>
        <w:spacing w:after="120"/>
        <w:rPr>
          <w:rFonts w:cs="Calibri"/>
        </w:rPr>
      </w:pPr>
      <w:r w:rsidRPr="006D07FA">
        <w:rPr>
          <w:rFonts w:cs="Calibri"/>
        </w:rPr>
        <w:t>The total score is on a scale from 1-100, with higher scores indicating a higher health-related quality of life. Summary scores and scores for each subscale are computed by averaging the component item responses, and range between 0-4.</w:t>
      </w:r>
    </w:p>
    <w:p w:rsidR="00F01F6E" w:rsidRPr="006D07FA" w:rsidRDefault="00F01F6E" w:rsidP="00D6773B">
      <w:pPr>
        <w:pStyle w:val="Heading3"/>
      </w:pPr>
      <w:r w:rsidRPr="006D07FA">
        <w:t>PROCEDURES</w:t>
      </w:r>
    </w:p>
    <w:p w:rsidR="00F01F6E" w:rsidRPr="006D07FA" w:rsidRDefault="00F01F6E" w:rsidP="00F01F6E">
      <w:pPr>
        <w:rPr>
          <w:rFonts w:cs="Calibri"/>
        </w:rPr>
      </w:pPr>
      <w:r w:rsidRPr="006D07FA">
        <w:rPr>
          <w:rFonts w:cs="Calibri"/>
        </w:rPr>
        <w:t>The test can be completed in under 5 minutes. Parents and children 8 years or older may self-administer the PedsQL or the administrator can read the instructions to the child.</w:t>
      </w:r>
    </w:p>
    <w:p w:rsidR="00F01F6E" w:rsidRPr="006D07FA" w:rsidRDefault="00F01F6E" w:rsidP="00D6773B">
      <w:pPr>
        <w:pStyle w:val="Heading3"/>
      </w:pPr>
      <w:r w:rsidRPr="006D07FA">
        <w:t>COMMENTS</w:t>
      </w:r>
    </w:p>
    <w:p w:rsidR="00F01F6E" w:rsidRPr="006D07FA" w:rsidRDefault="00F01F6E" w:rsidP="00F01F6E">
      <w:pPr>
        <w:rPr>
          <w:rFonts w:cs="Calibri"/>
        </w:rPr>
      </w:pPr>
      <w:r w:rsidRPr="006D07FA">
        <w:rPr>
          <w:rFonts w:cs="Calibri"/>
        </w:rPr>
        <w:t>The PedsQL is appropriate for children and adolescents ages 2-18 years.</w:t>
      </w:r>
    </w:p>
    <w:p w:rsidR="00F01F6E" w:rsidRPr="006D07FA" w:rsidRDefault="00F01F6E" w:rsidP="00D6773B">
      <w:pPr>
        <w:pStyle w:val="Heading3"/>
      </w:pPr>
      <w:r w:rsidRPr="006D07FA">
        <w:t>RATIONALE</w:t>
      </w:r>
    </w:p>
    <w:p w:rsidR="00F01F6E" w:rsidRPr="006D07FA" w:rsidRDefault="00F01F6E" w:rsidP="00F01F6E">
      <w:pPr>
        <w:rPr>
          <w:rFonts w:cs="Calibri"/>
        </w:rPr>
      </w:pPr>
      <w:r>
        <w:rPr>
          <w:rFonts w:cs="Calibri"/>
        </w:rPr>
        <w:t>“It has been used in pediatric TBI and has been translated into over 48 languages including Spanish.” – McCauley et al. 2012</w:t>
      </w:r>
    </w:p>
    <w:p w:rsidR="00F01F6E" w:rsidRPr="006D07FA" w:rsidRDefault="00F01F6E" w:rsidP="00D6773B">
      <w:pPr>
        <w:pStyle w:val="Heading3"/>
      </w:pPr>
      <w:r w:rsidRPr="006D07FA">
        <w:t>REFERENCES</w:t>
      </w:r>
    </w:p>
    <w:p w:rsidR="00F01F6E" w:rsidRPr="006D07FA" w:rsidRDefault="00F01F6E" w:rsidP="00F01F6E">
      <w:pPr>
        <w:rPr>
          <w:rFonts w:cs="Calibri"/>
        </w:rPr>
      </w:pPr>
      <w:r w:rsidRPr="006D07FA">
        <w:rPr>
          <w:rFonts w:cs="Calibri"/>
        </w:rPr>
        <w:t>Aitken, M., McCarthy, M., Slomine, B., Ding, R., Durbin, D., Jaffe, K., Paidas, C., Dorsch, A., Christensen, J., and Mackenzie, E. (2009). Family burden after traumatic brain injury in children. Pediatrics 123, 199-206.</w:t>
      </w:r>
    </w:p>
    <w:p w:rsidR="00F01F6E" w:rsidRPr="006D07FA" w:rsidRDefault="00F01F6E" w:rsidP="00F01F6E">
      <w:pPr>
        <w:rPr>
          <w:rFonts w:cs="Calibri"/>
        </w:rPr>
      </w:pPr>
      <w:r w:rsidRPr="006D07FA">
        <w:rPr>
          <w:rFonts w:cs="Calibri"/>
        </w:rPr>
        <w:t>Calvert, S., Miller, H., Curran, A., Hameed, B., McCarter, R., Edwards, R., Hunt, L., and Sharples, P. (2008). The King’s outcome scale for childhood head injury and injury severity and outcome measures in children with traumatic brain injury. Developmental Medicine and Child Neurology 50(6), 426-431.</w:t>
      </w:r>
    </w:p>
    <w:p w:rsidR="00F01F6E" w:rsidRPr="006D07FA" w:rsidRDefault="00F01F6E" w:rsidP="00F01F6E">
      <w:pPr>
        <w:rPr>
          <w:rFonts w:cs="Calibri"/>
        </w:rPr>
      </w:pPr>
      <w:r w:rsidRPr="006D07FA">
        <w:rPr>
          <w:rFonts w:cs="Calibri"/>
        </w:rPr>
        <w:t>Curran, A., Miller, H., McCarter, R., Sharples, P., and The Kids Head Injury Study Group (2003). Measuring quality of life after traumatic brain injury in children: How does the Health Utilities Index (HUI) compare to the Pediatric Quality of Life measure (PedsQL)? Arch Dis Child 88, A24.</w:t>
      </w:r>
    </w:p>
    <w:p w:rsidR="00F01F6E" w:rsidRPr="006D07FA" w:rsidRDefault="00F01F6E" w:rsidP="00F01F6E">
      <w:pPr>
        <w:rPr>
          <w:rFonts w:cs="Calibri"/>
        </w:rPr>
      </w:pPr>
      <w:r w:rsidRPr="006D07FA">
        <w:rPr>
          <w:rFonts w:cs="Calibri"/>
        </w:rPr>
        <w:lastRenderedPageBreak/>
        <w:t>Erickson, S., Montague, E., and Gerstle, M. (2010). Health-related quality of life in children with moderate-to-severe traumatic brain injury. Dev Neurorehabil 13, 175-181.</w:t>
      </w:r>
    </w:p>
    <w:p w:rsidR="00F01F6E" w:rsidRPr="006D07FA" w:rsidRDefault="00F01F6E" w:rsidP="00F01F6E">
      <w:pPr>
        <w:rPr>
          <w:rFonts w:cs="Calibri"/>
        </w:rPr>
      </w:pPr>
      <w:r w:rsidRPr="006D07FA">
        <w:rPr>
          <w:rFonts w:cs="Calibri"/>
        </w:rPr>
        <w:t>McCarthy, M. L., MacKenzie, E. J., Durbin, D. R., Aitken, M. E., Jaffe, K. M., Paidas, C. N., Slomine, B. S., Dorsch, A. M., Berk, R. A., Christensen, J. R., and Ding, R. (2005). The Pediatric Quality of Life Inventory: an evaluation of its reliability and validity for children with traumatic brain injury. Arch Phys Med Rehabil 86(10), 1901-1909.</w:t>
      </w:r>
    </w:p>
    <w:p w:rsidR="00F01F6E" w:rsidRPr="006D07FA" w:rsidRDefault="00F01F6E" w:rsidP="00F01F6E">
      <w:pPr>
        <w:rPr>
          <w:rFonts w:cs="Calibri"/>
        </w:rPr>
      </w:pPr>
      <w:r w:rsidRPr="006D07FA">
        <w:rPr>
          <w:rFonts w:cs="Calibri"/>
        </w:rPr>
        <w:t>McCarthy, M. L., MacKenzie, E. J., Durbin, D. R., Aitken, M. E., Jaffe, K. M., Paidas, C. N., Slomine, B. S., Dorsch, A. M., Christensen, J. R., and Ding, R. (2006). Health-related quality of life during the first year after traumatic brain injury. Arch Pediatr Adolesc Med 160(3), 252-260.</w:t>
      </w:r>
    </w:p>
    <w:p w:rsidR="00F01F6E" w:rsidRPr="006D07FA" w:rsidRDefault="00F01F6E" w:rsidP="00F01F6E">
      <w:pPr>
        <w:rPr>
          <w:rFonts w:cs="Calibri"/>
        </w:rPr>
      </w:pPr>
      <w:r w:rsidRPr="006D07FA">
        <w:rPr>
          <w:rFonts w:cs="Calibri"/>
        </w:rPr>
        <w:t>Moon, R., Sutton, T., Wilson, P., Kirkham, F., and Davies, J. (in press). Pituitary function at long-term follow up of childhood traumatic brain injury. J Neurotrauma.</w:t>
      </w:r>
    </w:p>
    <w:p w:rsidR="00F01F6E" w:rsidRPr="006D07FA" w:rsidRDefault="00F01F6E" w:rsidP="00F01F6E">
      <w:pPr>
        <w:rPr>
          <w:rFonts w:cs="Calibri"/>
        </w:rPr>
      </w:pPr>
      <w:r w:rsidRPr="006D07FA">
        <w:rPr>
          <w:rFonts w:cs="Calibri"/>
        </w:rPr>
        <w:t>Slomine, B., McCarthy, M., Ding, R., Mackenzie, E., Jaffe, K., Aitken, M., Durbin, D., Christensen, J., Dorsch, A., and Paidas, C. (2006). Health care utilization and needs after pediatric traumatic brain injury. Pediatrics 117(4), e663-e674.</w:t>
      </w:r>
    </w:p>
    <w:p w:rsidR="00F01F6E" w:rsidRPr="006D07FA" w:rsidRDefault="00F01F6E" w:rsidP="00F01F6E">
      <w:pPr>
        <w:rPr>
          <w:rFonts w:cs="Calibri"/>
        </w:rPr>
      </w:pPr>
      <w:r w:rsidRPr="006D07FA">
        <w:rPr>
          <w:rFonts w:cs="Calibri"/>
        </w:rPr>
        <w:t>Varni, J., Burwinkle, T., Seid, M., and Skarr, D. (2003). The PedsQL 4.0 as a pediatric population health measure: feasibility, reliability, and validity. Ambul Pediatr 3(6), 329- 341.</w:t>
      </w:r>
    </w:p>
    <w:p w:rsidR="00F01F6E" w:rsidRPr="006D07FA" w:rsidRDefault="00F01F6E" w:rsidP="00F01F6E">
      <w:pPr>
        <w:rPr>
          <w:rFonts w:cs="Calibri"/>
        </w:rPr>
      </w:pPr>
      <w:r w:rsidRPr="006D07FA">
        <w:rPr>
          <w:rFonts w:cs="Calibri"/>
        </w:rPr>
        <w:t>Varni, J., Seid, M., and Kurtin, P. (2001). PedsQL 4.0: reliability and validity of the Pediatric Quality of Life Inventory version 4.0 generic core scales in healthy and patient populations. Med Care 39(8), 800-812.</w:t>
      </w:r>
    </w:p>
    <w:p w:rsidR="00F01F6E" w:rsidRPr="006D07FA" w:rsidRDefault="00F01F6E" w:rsidP="00F01F6E">
      <w:pPr>
        <w:rPr>
          <w:rFonts w:cs="Calibri"/>
        </w:rPr>
      </w:pPr>
      <w:r w:rsidRPr="006D07FA">
        <w:rPr>
          <w:rFonts w:cs="Calibri"/>
        </w:rPr>
        <w:t>Varni, J., Seid, M., and Rode, C. (1999). The PedsQL: measurement model for the pediatric quality of life inventory. Med Care 37(2), 126-139.</w:t>
      </w:r>
    </w:p>
    <w:p w:rsidR="00C83AC8" w:rsidRPr="008D222D" w:rsidRDefault="00F01F6E" w:rsidP="00D6773B">
      <w:pPr>
        <w:pStyle w:val="Heading2"/>
      </w:pPr>
      <w:r>
        <w:br w:type="page"/>
      </w:r>
      <w:r w:rsidR="00C83AC8" w:rsidRPr="008D222D">
        <w:lastRenderedPageBreak/>
        <w:t>Quality of Life after Brain Injury (QOLIBRI)</w:t>
      </w:r>
    </w:p>
    <w:p w:rsidR="00C83AC8" w:rsidRPr="008D222D" w:rsidRDefault="00C83AC8" w:rsidP="00D6773B">
      <w:pPr>
        <w:pStyle w:val="Heading3"/>
      </w:pPr>
      <w:r w:rsidRPr="008D222D">
        <w:t xml:space="preserve">DESCRIPTION </w:t>
      </w:r>
    </w:p>
    <w:p w:rsidR="00C83AC8" w:rsidRPr="008D222D" w:rsidRDefault="00C83AC8" w:rsidP="00C83AC8">
      <w:pPr>
        <w:rPr>
          <w:rFonts w:cs="Calibri"/>
        </w:rPr>
      </w:pPr>
      <w:r w:rsidRPr="008D222D">
        <w:rPr>
          <w:rFonts w:cs="Calibri"/>
        </w:rPr>
        <w:t xml:space="preserve">The QOLIBRI-TBI is a TBI disease-specific instrument to measure HRQoL after TBI. Its multidimensional structure contains 37 items on 4 Satisfaction scales "Cognition", "Self", "Daily Life &amp; Autonomy", </w:t>
      </w:r>
      <w:r w:rsidR="00D6773B" w:rsidRPr="008D222D">
        <w:rPr>
          <w:rFonts w:cs="Calibri"/>
        </w:rPr>
        <w:t>“Relationships</w:t>
      </w:r>
      <w:r w:rsidRPr="008D222D">
        <w:rPr>
          <w:rFonts w:cs="Calibri"/>
        </w:rPr>
        <w:t>", 2 Bothered scales "Emotions" and "Physical Problems" and a total score. For screening purposes there is an additional overall s</w:t>
      </w:r>
      <w:r w:rsidR="00D6773B">
        <w:rPr>
          <w:rFonts w:cs="Calibri"/>
        </w:rPr>
        <w:t xml:space="preserve">cale available with 6 items. </w:t>
      </w:r>
    </w:p>
    <w:p w:rsidR="00C83AC8" w:rsidRPr="008D222D" w:rsidRDefault="00C83AC8" w:rsidP="00D6773B">
      <w:pPr>
        <w:pStyle w:val="Heading3"/>
      </w:pPr>
      <w:r w:rsidRPr="008D222D">
        <w:t xml:space="preserve">PERMISSIBLE VALUES </w:t>
      </w:r>
    </w:p>
    <w:p w:rsidR="00C83AC8" w:rsidRPr="008D222D" w:rsidRDefault="00C83AC8" w:rsidP="00C83AC8">
      <w:pPr>
        <w:rPr>
          <w:rFonts w:cs="Calibri"/>
        </w:rPr>
      </w:pPr>
      <w:r w:rsidRPr="008D222D">
        <w:rPr>
          <w:rFonts w:cs="Calibri"/>
        </w:rPr>
        <w:t>The scoring algorithm provides percent scores for the six subscales (with 1</w:t>
      </w:r>
      <w:bookmarkStart w:id="0" w:name="_GoBack"/>
      <w:bookmarkEnd w:id="0"/>
      <w:r w:rsidRPr="008D222D">
        <w:rPr>
          <w:rFonts w:cs="Calibri"/>
        </w:rPr>
        <w:t>00% indicating best QoL), and one total score. Higher scores on all scales indicate higher HRQOL</w:t>
      </w:r>
      <w:r w:rsidR="00D6773B">
        <w:rPr>
          <w:rFonts w:cs="Calibri"/>
        </w:rPr>
        <w:t xml:space="preserve"> after TBI. </w:t>
      </w:r>
    </w:p>
    <w:p w:rsidR="00C83AC8" w:rsidRPr="008D222D" w:rsidRDefault="00C83AC8" w:rsidP="00D6773B">
      <w:pPr>
        <w:pStyle w:val="Heading3"/>
      </w:pPr>
      <w:r w:rsidRPr="008D222D">
        <w:t xml:space="preserve">PROCEDURE </w:t>
      </w:r>
    </w:p>
    <w:p w:rsidR="00C83AC8" w:rsidRPr="008D222D" w:rsidRDefault="00C83AC8" w:rsidP="00C83AC8">
      <w:pPr>
        <w:rPr>
          <w:rFonts w:cs="Calibri"/>
        </w:rPr>
      </w:pPr>
      <w:r w:rsidRPr="008D222D">
        <w:rPr>
          <w:rFonts w:cs="Calibri"/>
        </w:rPr>
        <w:t>Self report, face-to-face interview,5-10 minutes, available : comprehensive version with 37 items, a screening (6 items), and short version (11 items) and CAT (Computer</w:t>
      </w:r>
      <w:r w:rsidR="00D6773B">
        <w:rPr>
          <w:rFonts w:cs="Calibri"/>
        </w:rPr>
        <w:t xml:space="preserve"> Adaptive Test) in preparation.</w:t>
      </w:r>
    </w:p>
    <w:p w:rsidR="00C83AC8" w:rsidRPr="008D222D" w:rsidRDefault="00C83AC8" w:rsidP="00D6773B">
      <w:pPr>
        <w:pStyle w:val="Heading3"/>
      </w:pPr>
      <w:r w:rsidRPr="008D222D">
        <w:t xml:space="preserve">COMMENTS </w:t>
      </w:r>
    </w:p>
    <w:p w:rsidR="00C83AC8" w:rsidRPr="008D222D" w:rsidRDefault="00D6773B" w:rsidP="00C83AC8">
      <w:pPr>
        <w:rPr>
          <w:rFonts w:cs="Calibri"/>
        </w:rPr>
      </w:pPr>
      <w:r>
        <w:rPr>
          <w:rFonts w:cs="Calibri"/>
        </w:rPr>
        <w:t xml:space="preserve">Persons after TBI, </w:t>
      </w:r>
      <w:r w:rsidR="00C83AC8" w:rsidRPr="008D222D">
        <w:rPr>
          <w:rFonts w:cs="Calibri"/>
        </w:rPr>
        <w:t>17-68 years, translations available in Chinese, Spanish, English, Finnish, French, Italian</w:t>
      </w:r>
      <w:r>
        <w:rPr>
          <w:rFonts w:cs="Calibri"/>
        </w:rPr>
        <w:t>, German, Dutch, Polish, etc.).</w:t>
      </w:r>
    </w:p>
    <w:p w:rsidR="00C83AC8" w:rsidRPr="008D222D" w:rsidRDefault="00C83AC8" w:rsidP="00D6773B">
      <w:pPr>
        <w:pStyle w:val="Heading3"/>
      </w:pPr>
      <w:r w:rsidRPr="008D222D">
        <w:t>RATIONALE</w:t>
      </w:r>
    </w:p>
    <w:p w:rsidR="00C83AC8" w:rsidRPr="008D222D" w:rsidRDefault="00C83AC8" w:rsidP="00C83AC8">
      <w:pPr>
        <w:rPr>
          <w:rFonts w:cs="Calibri"/>
        </w:rPr>
      </w:pPr>
      <w:r w:rsidRPr="008D222D">
        <w:rPr>
          <w:rFonts w:cs="Calibri"/>
        </w:rPr>
        <w:t>Until now the only disease specific HRQOL-instrument for persons after TBI. Comprehensive outcome tool for clinic outcome studies and individual use. In two international psychometric studies with 921 and 1528 mild-to-severe TBI patients FA, CFA and SEM support a six-scale QOL profile and a total QOL score. Scale internal consistencies and test-retest reliability between 0.75 and 0.89, for total score &gt; .90. Similar reliabilities in groups of participants with lower and higher cognitive performance. Correlations of QOLIBRI-TBI scores and SF-36: higher with SF-36 mental (.60) than SF-36 physical (.40) component, which was expected because of content of QOLIBRI-TBI. Correlation between QOLIBRI-TBI and SWLS (.58), functional outcome (GOSE, 0.40) and (negative) correlations with HADS anxiety (&gt;.55) and depression (&gt;0.65). No or marginal correlation with GCS, ag</w:t>
      </w:r>
      <w:r w:rsidR="00D6773B">
        <w:rPr>
          <w:rFonts w:cs="Calibri"/>
        </w:rPr>
        <w:t>e and time since injury (&lt;.10).</w:t>
      </w:r>
      <w:r w:rsidRPr="008D222D">
        <w:rPr>
          <w:rFonts w:cs="Calibri"/>
        </w:rPr>
        <w:t xml:space="preserve"> </w:t>
      </w:r>
    </w:p>
    <w:p w:rsidR="00C83AC8" w:rsidRPr="008D222D" w:rsidRDefault="00C83AC8" w:rsidP="00D6773B">
      <w:pPr>
        <w:pStyle w:val="Heading3"/>
      </w:pPr>
      <w:r w:rsidRPr="008D222D">
        <w:t>REFERENCES</w:t>
      </w:r>
    </w:p>
    <w:p w:rsidR="00C83AC8" w:rsidRPr="008D222D" w:rsidRDefault="00C83AC8" w:rsidP="00C83AC8">
      <w:pPr>
        <w:rPr>
          <w:rFonts w:cs="Calibri"/>
        </w:rPr>
      </w:pPr>
      <w:r w:rsidRPr="008D222D">
        <w:rPr>
          <w:rFonts w:cs="Calibri"/>
        </w:rPr>
        <w:t>Von Steinbüchel et al. (2005), von Steinbüchel et al., (2009, submitted)</w:t>
      </w:r>
    </w:p>
    <w:p w:rsidR="002772D0" w:rsidRPr="008D222D" w:rsidRDefault="008D222D" w:rsidP="00D6773B">
      <w:pPr>
        <w:pStyle w:val="Heading2"/>
      </w:pPr>
      <w:r>
        <w:br w:type="page"/>
      </w:r>
      <w:r w:rsidR="002772D0" w:rsidRPr="008D222D">
        <w:lastRenderedPageBreak/>
        <w:t>Satisfaction with Life Scale (SWLS)</w:t>
      </w:r>
    </w:p>
    <w:p w:rsidR="00C83AC8" w:rsidRPr="008D222D" w:rsidRDefault="00C83AC8" w:rsidP="00D6773B">
      <w:pPr>
        <w:pStyle w:val="Heading3"/>
      </w:pPr>
      <w:r w:rsidRPr="008D222D">
        <w:t xml:space="preserve">DESCRIPTION </w:t>
      </w:r>
    </w:p>
    <w:p w:rsidR="00C83AC8" w:rsidRPr="008D222D" w:rsidRDefault="003307E2" w:rsidP="00C83AC8">
      <w:pPr>
        <w:rPr>
          <w:rFonts w:cs="Calibri"/>
        </w:rPr>
      </w:pPr>
      <w:r w:rsidRPr="008D222D">
        <w:rPr>
          <w:rFonts w:cs="Calibri"/>
        </w:rPr>
        <w:t xml:space="preserve">The SWLS consists of </w:t>
      </w:r>
      <w:r w:rsidR="00C83AC8" w:rsidRPr="008D222D">
        <w:rPr>
          <w:rFonts w:cs="Calibri"/>
        </w:rPr>
        <w:t>5 items answered on a 7-point Likert scale ranging from 1=strongl</w:t>
      </w:r>
      <w:r w:rsidR="00D6773B">
        <w:rPr>
          <w:rFonts w:cs="Calibri"/>
        </w:rPr>
        <w:t>y disagree to 7=strongly agree.</w:t>
      </w:r>
    </w:p>
    <w:p w:rsidR="00C83AC8" w:rsidRPr="008D222D" w:rsidRDefault="00C83AC8" w:rsidP="00D6773B">
      <w:pPr>
        <w:pStyle w:val="Heading3"/>
      </w:pPr>
      <w:r w:rsidRPr="008D222D">
        <w:t xml:space="preserve">PERMISSIBLE VALUES </w:t>
      </w:r>
    </w:p>
    <w:p w:rsidR="00C83AC8" w:rsidRPr="008D222D" w:rsidRDefault="00C83AC8" w:rsidP="00C83AC8">
      <w:pPr>
        <w:rPr>
          <w:rFonts w:cs="Calibri"/>
        </w:rPr>
      </w:pPr>
      <w:r w:rsidRPr="008D222D">
        <w:rPr>
          <w:rFonts w:cs="Calibri"/>
        </w:rPr>
        <w:t>Total score ranges from 7-35. Higher scores indicate better satisfaction with life.</w:t>
      </w:r>
      <w:r w:rsidRPr="008D222D">
        <w:rPr>
          <w:rFonts w:cs="Calibri"/>
        </w:rPr>
        <w:tab/>
      </w:r>
    </w:p>
    <w:p w:rsidR="00C83AC8" w:rsidRPr="008D222D" w:rsidRDefault="00C83AC8" w:rsidP="00D6773B">
      <w:pPr>
        <w:pStyle w:val="Heading3"/>
      </w:pPr>
      <w:r w:rsidRPr="008D222D">
        <w:t xml:space="preserve">PROCEDURE </w:t>
      </w:r>
    </w:p>
    <w:p w:rsidR="00C83AC8" w:rsidRPr="008D222D" w:rsidRDefault="00C83AC8" w:rsidP="00C83AC8">
      <w:pPr>
        <w:rPr>
          <w:rFonts w:cs="Calibri"/>
        </w:rPr>
      </w:pPr>
      <w:r w:rsidRPr="008D222D">
        <w:rPr>
          <w:rFonts w:cs="Calibri"/>
        </w:rPr>
        <w:t xml:space="preserve">Individual of interest is the respondent. </w:t>
      </w:r>
      <w:r w:rsidR="00D6773B" w:rsidRPr="008D222D">
        <w:rPr>
          <w:rFonts w:cs="Calibri"/>
        </w:rPr>
        <w:t>Paper-and-pencil</w:t>
      </w:r>
      <w:r w:rsidRPr="008D222D">
        <w:rPr>
          <w:rFonts w:cs="Calibri"/>
        </w:rPr>
        <w:t xml:space="preserve"> measure. Admi</w:t>
      </w:r>
      <w:r w:rsidR="00D6773B">
        <w:rPr>
          <w:rFonts w:cs="Calibri"/>
        </w:rPr>
        <w:t>nistration time is 2-3 minutes.</w:t>
      </w:r>
    </w:p>
    <w:p w:rsidR="00C83AC8" w:rsidRPr="008D222D" w:rsidRDefault="00C83AC8" w:rsidP="00D6773B">
      <w:pPr>
        <w:pStyle w:val="Heading3"/>
      </w:pPr>
      <w:r w:rsidRPr="008D222D">
        <w:t xml:space="preserve">COMMENTS </w:t>
      </w:r>
    </w:p>
    <w:p w:rsidR="00C83AC8" w:rsidRPr="008D222D" w:rsidRDefault="00C83AC8" w:rsidP="00C83AC8">
      <w:pPr>
        <w:rPr>
          <w:rFonts w:cs="Calibri"/>
        </w:rPr>
      </w:pPr>
      <w:r w:rsidRPr="008D222D">
        <w:rPr>
          <w:rFonts w:cs="Calibri"/>
        </w:rPr>
        <w:t>Can be used with adult individuals with severe disability, mode</w:t>
      </w:r>
      <w:r w:rsidR="00D6773B">
        <w:rPr>
          <w:rFonts w:cs="Calibri"/>
        </w:rPr>
        <w:t>rate disability, good recovery.</w:t>
      </w:r>
    </w:p>
    <w:p w:rsidR="00C83AC8" w:rsidRPr="008D222D" w:rsidRDefault="00C83AC8" w:rsidP="00D6773B">
      <w:pPr>
        <w:pStyle w:val="Heading3"/>
      </w:pPr>
      <w:r w:rsidRPr="008D222D">
        <w:t>RATIONALE</w:t>
      </w:r>
    </w:p>
    <w:p w:rsidR="00C83AC8" w:rsidRPr="008D222D" w:rsidRDefault="00C83AC8" w:rsidP="00C83AC8">
      <w:pPr>
        <w:rPr>
          <w:rFonts w:cs="Calibri"/>
        </w:rPr>
      </w:pPr>
      <w:r w:rsidRPr="008D222D">
        <w:rPr>
          <w:rFonts w:cs="Calibri"/>
        </w:rPr>
        <w:t>Normative data is available in the TBI population. The SWLS has been used by the TBI Model Systems</w:t>
      </w:r>
      <w:r w:rsidR="00D6773B">
        <w:rPr>
          <w:rFonts w:cs="Calibri"/>
        </w:rPr>
        <w:t xml:space="preserve"> national database since 1998.</w:t>
      </w:r>
    </w:p>
    <w:p w:rsidR="00C83AC8" w:rsidRPr="008D222D" w:rsidRDefault="00C83AC8" w:rsidP="00D6773B">
      <w:pPr>
        <w:pStyle w:val="Heading3"/>
      </w:pPr>
      <w:r w:rsidRPr="008D222D">
        <w:t>REFERENCES</w:t>
      </w:r>
    </w:p>
    <w:p w:rsidR="006A6ED8" w:rsidRPr="008D222D" w:rsidRDefault="00C83AC8" w:rsidP="006A6ED8">
      <w:pPr>
        <w:rPr>
          <w:rFonts w:cs="Calibri"/>
          <w:b/>
        </w:rPr>
      </w:pPr>
      <w:r w:rsidRPr="008D222D">
        <w:rPr>
          <w:rFonts w:cs="Calibri"/>
        </w:rPr>
        <w:t>Diener E, Emmons R, Larsen J, Griffin S. The Satisfaction with Life Scale. J Personality Assessment 1985;49:71-75.</w:t>
      </w:r>
    </w:p>
    <w:sectPr w:rsidR="006A6ED8" w:rsidRPr="008D222D" w:rsidSect="00B5027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599" w:rsidRDefault="004C7599" w:rsidP="003256BA">
      <w:pPr>
        <w:spacing w:after="0" w:line="240" w:lineRule="auto"/>
      </w:pPr>
      <w:r>
        <w:separator/>
      </w:r>
    </w:p>
  </w:endnote>
  <w:endnote w:type="continuationSeparator" w:id="0">
    <w:p w:rsidR="004C7599" w:rsidRDefault="004C7599" w:rsidP="00325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22D" w:rsidRDefault="00D6773B" w:rsidP="00D6773B">
    <w:pPr>
      <w:pStyle w:val="Footer"/>
      <w:tabs>
        <w:tab w:val="clear" w:pos="4680"/>
      </w:tabs>
    </w:pPr>
    <w:r>
      <w:t>TBI CDE Version 2.0</w:t>
    </w:r>
    <w:r>
      <w:tab/>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5</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599" w:rsidRDefault="004C7599" w:rsidP="003256BA">
      <w:pPr>
        <w:spacing w:after="0" w:line="240" w:lineRule="auto"/>
      </w:pPr>
      <w:r>
        <w:separator/>
      </w:r>
    </w:p>
  </w:footnote>
  <w:footnote w:type="continuationSeparator" w:id="0">
    <w:p w:rsidR="004C7599" w:rsidRDefault="004C7599" w:rsidP="003256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73B" w:rsidRPr="00D6773B" w:rsidRDefault="00D6773B" w:rsidP="00D6773B">
    <w:pPr>
      <w:pStyle w:val="Heading1"/>
    </w:pPr>
    <w:r w:rsidRPr="00D6773B">
      <w:t>Traumatic Brain Injury (TBI) Common Data Element (CDE)</w:t>
    </w:r>
  </w:p>
  <w:p w:rsidR="00D6773B" w:rsidRPr="00D6773B" w:rsidRDefault="00D6773B" w:rsidP="00D6773B">
    <w:pPr>
      <w:pStyle w:val="Heading1"/>
    </w:pPr>
    <w:r w:rsidRPr="00D6773B">
      <w:t>Outcome Measure Recommendations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07DA4"/>
    <w:multiLevelType w:val="multilevel"/>
    <w:tmpl w:val="BB9852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905A35"/>
    <w:multiLevelType w:val="hybridMultilevel"/>
    <w:tmpl w:val="3A4026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914476"/>
    <w:multiLevelType w:val="hybridMultilevel"/>
    <w:tmpl w:val="33629B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771130"/>
    <w:multiLevelType w:val="hybridMultilevel"/>
    <w:tmpl w:val="B5ECD3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A47F50"/>
    <w:multiLevelType w:val="hybridMultilevel"/>
    <w:tmpl w:val="CFC8C4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8F43A2"/>
    <w:multiLevelType w:val="hybridMultilevel"/>
    <w:tmpl w:val="F05232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8E72F7"/>
    <w:multiLevelType w:val="hybridMultilevel"/>
    <w:tmpl w:val="E55A5C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EE14FD"/>
    <w:multiLevelType w:val="hybridMultilevel"/>
    <w:tmpl w:val="5A249D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AA3F97"/>
    <w:multiLevelType w:val="hybridMultilevel"/>
    <w:tmpl w:val="5308F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DA570C"/>
    <w:multiLevelType w:val="hybridMultilevel"/>
    <w:tmpl w:val="3376B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420597"/>
    <w:multiLevelType w:val="hybridMultilevel"/>
    <w:tmpl w:val="9D789D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61673F"/>
    <w:multiLevelType w:val="hybridMultilevel"/>
    <w:tmpl w:val="5A48E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825C5A"/>
    <w:multiLevelType w:val="hybridMultilevel"/>
    <w:tmpl w:val="4404D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4F18D2"/>
    <w:multiLevelType w:val="multilevel"/>
    <w:tmpl w:val="AB0A0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802AC9"/>
    <w:multiLevelType w:val="hybridMultilevel"/>
    <w:tmpl w:val="5308F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C02253"/>
    <w:multiLevelType w:val="hybridMultilevel"/>
    <w:tmpl w:val="970069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396B9A"/>
    <w:multiLevelType w:val="hybridMultilevel"/>
    <w:tmpl w:val="898C56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EA5272"/>
    <w:multiLevelType w:val="hybridMultilevel"/>
    <w:tmpl w:val="6A2C75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010DBF"/>
    <w:multiLevelType w:val="hybridMultilevel"/>
    <w:tmpl w:val="1B167A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747C42"/>
    <w:multiLevelType w:val="hybridMultilevel"/>
    <w:tmpl w:val="7610AB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561820"/>
    <w:multiLevelType w:val="hybridMultilevel"/>
    <w:tmpl w:val="5308F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7205FB"/>
    <w:multiLevelType w:val="hybridMultilevel"/>
    <w:tmpl w:val="AA7CE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4541D6"/>
    <w:multiLevelType w:val="hybridMultilevel"/>
    <w:tmpl w:val="5308F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97341B"/>
    <w:multiLevelType w:val="hybridMultilevel"/>
    <w:tmpl w:val="C596B9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9D6B2B"/>
    <w:multiLevelType w:val="multilevel"/>
    <w:tmpl w:val="1BC6F6A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5B85BE9"/>
    <w:multiLevelType w:val="hybridMultilevel"/>
    <w:tmpl w:val="73CA95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24"/>
  </w:num>
  <w:num w:numId="4">
    <w:abstractNumId w:val="9"/>
  </w:num>
  <w:num w:numId="5">
    <w:abstractNumId w:val="22"/>
  </w:num>
  <w:num w:numId="6">
    <w:abstractNumId w:val="17"/>
  </w:num>
  <w:num w:numId="7">
    <w:abstractNumId w:val="20"/>
  </w:num>
  <w:num w:numId="8">
    <w:abstractNumId w:val="8"/>
  </w:num>
  <w:num w:numId="9">
    <w:abstractNumId w:val="14"/>
  </w:num>
  <w:num w:numId="10">
    <w:abstractNumId w:val="21"/>
  </w:num>
  <w:num w:numId="11">
    <w:abstractNumId w:val="11"/>
  </w:num>
  <w:num w:numId="12">
    <w:abstractNumId w:val="1"/>
  </w:num>
  <w:num w:numId="13">
    <w:abstractNumId w:val="3"/>
  </w:num>
  <w:num w:numId="14">
    <w:abstractNumId w:val="12"/>
  </w:num>
  <w:num w:numId="15">
    <w:abstractNumId w:val="18"/>
  </w:num>
  <w:num w:numId="16">
    <w:abstractNumId w:val="10"/>
  </w:num>
  <w:num w:numId="17">
    <w:abstractNumId w:val="23"/>
  </w:num>
  <w:num w:numId="18">
    <w:abstractNumId w:val="25"/>
  </w:num>
  <w:num w:numId="19">
    <w:abstractNumId w:val="15"/>
  </w:num>
  <w:num w:numId="20">
    <w:abstractNumId w:val="2"/>
  </w:num>
  <w:num w:numId="21">
    <w:abstractNumId w:val="7"/>
  </w:num>
  <w:num w:numId="22">
    <w:abstractNumId w:val="4"/>
  </w:num>
  <w:num w:numId="23">
    <w:abstractNumId w:val="5"/>
  </w:num>
  <w:num w:numId="24">
    <w:abstractNumId w:val="6"/>
  </w:num>
  <w:num w:numId="25">
    <w:abstractNumId w:val="19"/>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42DF"/>
    <w:rsid w:val="00005423"/>
    <w:rsid w:val="000166F1"/>
    <w:rsid w:val="00036648"/>
    <w:rsid w:val="00067485"/>
    <w:rsid w:val="000923C6"/>
    <w:rsid w:val="000C103F"/>
    <w:rsid w:val="000C677D"/>
    <w:rsid w:val="000E4D62"/>
    <w:rsid w:val="00105870"/>
    <w:rsid w:val="00133519"/>
    <w:rsid w:val="00137957"/>
    <w:rsid w:val="00151EE1"/>
    <w:rsid w:val="00186B84"/>
    <w:rsid w:val="001A1472"/>
    <w:rsid w:val="001B190F"/>
    <w:rsid w:val="001C3A62"/>
    <w:rsid w:val="001D4F0B"/>
    <w:rsid w:val="00201DB9"/>
    <w:rsid w:val="0022540E"/>
    <w:rsid w:val="0023143B"/>
    <w:rsid w:val="00257409"/>
    <w:rsid w:val="0026399F"/>
    <w:rsid w:val="0026667A"/>
    <w:rsid w:val="00272AF0"/>
    <w:rsid w:val="002772D0"/>
    <w:rsid w:val="00283B0C"/>
    <w:rsid w:val="002A76D8"/>
    <w:rsid w:val="002B2DCC"/>
    <w:rsid w:val="002E0240"/>
    <w:rsid w:val="002F045A"/>
    <w:rsid w:val="003017B7"/>
    <w:rsid w:val="003256BA"/>
    <w:rsid w:val="003307E2"/>
    <w:rsid w:val="00331FE7"/>
    <w:rsid w:val="00362150"/>
    <w:rsid w:val="003632F5"/>
    <w:rsid w:val="0038142D"/>
    <w:rsid w:val="00390AFC"/>
    <w:rsid w:val="00397664"/>
    <w:rsid w:val="003A10E2"/>
    <w:rsid w:val="003A684C"/>
    <w:rsid w:val="003A71F0"/>
    <w:rsid w:val="003C1198"/>
    <w:rsid w:val="003C5959"/>
    <w:rsid w:val="003D1229"/>
    <w:rsid w:val="003D1E85"/>
    <w:rsid w:val="003F48E0"/>
    <w:rsid w:val="00407ED8"/>
    <w:rsid w:val="00412771"/>
    <w:rsid w:val="00416C28"/>
    <w:rsid w:val="00425DCE"/>
    <w:rsid w:val="00431050"/>
    <w:rsid w:val="00436F2C"/>
    <w:rsid w:val="00440B65"/>
    <w:rsid w:val="00446D34"/>
    <w:rsid w:val="00451F71"/>
    <w:rsid w:val="00472EB4"/>
    <w:rsid w:val="004A1A0B"/>
    <w:rsid w:val="004A6DFA"/>
    <w:rsid w:val="004A7991"/>
    <w:rsid w:val="004B3646"/>
    <w:rsid w:val="004B766F"/>
    <w:rsid w:val="004C7599"/>
    <w:rsid w:val="004E73A8"/>
    <w:rsid w:val="00552A1A"/>
    <w:rsid w:val="0057055B"/>
    <w:rsid w:val="00571C71"/>
    <w:rsid w:val="00575537"/>
    <w:rsid w:val="00577465"/>
    <w:rsid w:val="005779AF"/>
    <w:rsid w:val="00595C38"/>
    <w:rsid w:val="00597B14"/>
    <w:rsid w:val="005A7A94"/>
    <w:rsid w:val="005D1371"/>
    <w:rsid w:val="005D3954"/>
    <w:rsid w:val="005E172F"/>
    <w:rsid w:val="005F2C7C"/>
    <w:rsid w:val="005F4802"/>
    <w:rsid w:val="0061104A"/>
    <w:rsid w:val="006126F3"/>
    <w:rsid w:val="00641332"/>
    <w:rsid w:val="0064276E"/>
    <w:rsid w:val="00656917"/>
    <w:rsid w:val="006A6ED8"/>
    <w:rsid w:val="006B58A1"/>
    <w:rsid w:val="006D24E0"/>
    <w:rsid w:val="006F24CB"/>
    <w:rsid w:val="006F327D"/>
    <w:rsid w:val="006F58D1"/>
    <w:rsid w:val="00715490"/>
    <w:rsid w:val="00715E1B"/>
    <w:rsid w:val="0073451E"/>
    <w:rsid w:val="00747374"/>
    <w:rsid w:val="00747B7F"/>
    <w:rsid w:val="00757EB8"/>
    <w:rsid w:val="00761F5E"/>
    <w:rsid w:val="0079543B"/>
    <w:rsid w:val="007A1862"/>
    <w:rsid w:val="007A76D2"/>
    <w:rsid w:val="008122AB"/>
    <w:rsid w:val="0082143F"/>
    <w:rsid w:val="0083461E"/>
    <w:rsid w:val="00837790"/>
    <w:rsid w:val="008517B1"/>
    <w:rsid w:val="00865F08"/>
    <w:rsid w:val="008711D5"/>
    <w:rsid w:val="00872036"/>
    <w:rsid w:val="00892BFF"/>
    <w:rsid w:val="0089414D"/>
    <w:rsid w:val="00896C1C"/>
    <w:rsid w:val="00897A76"/>
    <w:rsid w:val="008D222D"/>
    <w:rsid w:val="008D53AA"/>
    <w:rsid w:val="008E024A"/>
    <w:rsid w:val="008F3218"/>
    <w:rsid w:val="008F563C"/>
    <w:rsid w:val="00915661"/>
    <w:rsid w:val="0095430C"/>
    <w:rsid w:val="00957C3D"/>
    <w:rsid w:val="009877E3"/>
    <w:rsid w:val="00994F6F"/>
    <w:rsid w:val="009D6578"/>
    <w:rsid w:val="009E2D7C"/>
    <w:rsid w:val="009E4116"/>
    <w:rsid w:val="009F3D95"/>
    <w:rsid w:val="00A01395"/>
    <w:rsid w:val="00A113F5"/>
    <w:rsid w:val="00A342B0"/>
    <w:rsid w:val="00A354C6"/>
    <w:rsid w:val="00A43D8E"/>
    <w:rsid w:val="00A50916"/>
    <w:rsid w:val="00A668FE"/>
    <w:rsid w:val="00A771A0"/>
    <w:rsid w:val="00A77ED9"/>
    <w:rsid w:val="00A91A68"/>
    <w:rsid w:val="00A942DF"/>
    <w:rsid w:val="00AC68C0"/>
    <w:rsid w:val="00AD42B7"/>
    <w:rsid w:val="00AE19BF"/>
    <w:rsid w:val="00B146A6"/>
    <w:rsid w:val="00B33EFA"/>
    <w:rsid w:val="00B34FCC"/>
    <w:rsid w:val="00B35A36"/>
    <w:rsid w:val="00B37CE3"/>
    <w:rsid w:val="00B50270"/>
    <w:rsid w:val="00B55883"/>
    <w:rsid w:val="00B71CE2"/>
    <w:rsid w:val="00B74F2C"/>
    <w:rsid w:val="00B808CD"/>
    <w:rsid w:val="00B840F4"/>
    <w:rsid w:val="00B92FE1"/>
    <w:rsid w:val="00BA177D"/>
    <w:rsid w:val="00BB167B"/>
    <w:rsid w:val="00BD7D4C"/>
    <w:rsid w:val="00BE295B"/>
    <w:rsid w:val="00C02CD4"/>
    <w:rsid w:val="00C1442F"/>
    <w:rsid w:val="00C638D1"/>
    <w:rsid w:val="00C657EB"/>
    <w:rsid w:val="00C6740D"/>
    <w:rsid w:val="00C80913"/>
    <w:rsid w:val="00C83AC8"/>
    <w:rsid w:val="00C926B3"/>
    <w:rsid w:val="00CD5942"/>
    <w:rsid w:val="00CE6A31"/>
    <w:rsid w:val="00CF30EF"/>
    <w:rsid w:val="00CF3C01"/>
    <w:rsid w:val="00D44C4D"/>
    <w:rsid w:val="00D468A6"/>
    <w:rsid w:val="00D61192"/>
    <w:rsid w:val="00D6773B"/>
    <w:rsid w:val="00D84A13"/>
    <w:rsid w:val="00D942BF"/>
    <w:rsid w:val="00DD6C49"/>
    <w:rsid w:val="00E0090D"/>
    <w:rsid w:val="00E20EB1"/>
    <w:rsid w:val="00E41FF2"/>
    <w:rsid w:val="00E51D1C"/>
    <w:rsid w:val="00E53B4C"/>
    <w:rsid w:val="00E712E2"/>
    <w:rsid w:val="00E85E53"/>
    <w:rsid w:val="00EB5061"/>
    <w:rsid w:val="00EF4835"/>
    <w:rsid w:val="00F01F6E"/>
    <w:rsid w:val="00F173F8"/>
    <w:rsid w:val="00F17B5E"/>
    <w:rsid w:val="00F22CE7"/>
    <w:rsid w:val="00F31636"/>
    <w:rsid w:val="00F407D7"/>
    <w:rsid w:val="00F517A6"/>
    <w:rsid w:val="00F858AE"/>
    <w:rsid w:val="00F9375B"/>
    <w:rsid w:val="00F95976"/>
    <w:rsid w:val="00FA6A1A"/>
    <w:rsid w:val="00FB29AD"/>
    <w:rsid w:val="00FC3DFE"/>
    <w:rsid w:val="00FD2B2F"/>
    <w:rsid w:val="00FD6879"/>
    <w:rsid w:val="00FE1FF0"/>
    <w:rsid w:val="00FE5182"/>
    <w:rsid w:val="00FF2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13B1024-453F-43AA-8414-138751CD7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270"/>
    <w:pPr>
      <w:spacing w:after="200" w:line="276" w:lineRule="auto"/>
    </w:pPr>
    <w:rPr>
      <w:sz w:val="22"/>
      <w:szCs w:val="22"/>
    </w:rPr>
  </w:style>
  <w:style w:type="paragraph" w:styleId="Heading1">
    <w:name w:val="heading 1"/>
    <w:basedOn w:val="Normal"/>
    <w:next w:val="Normal"/>
    <w:link w:val="Heading1Char"/>
    <w:uiPriority w:val="9"/>
    <w:qFormat/>
    <w:rsid w:val="00D6773B"/>
    <w:pPr>
      <w:spacing w:after="0"/>
      <w:jc w:val="center"/>
      <w:outlineLvl w:val="0"/>
    </w:pPr>
    <w:rPr>
      <w:rFonts w:cs="Calibri"/>
      <w:b/>
      <w:sz w:val="28"/>
      <w:szCs w:val="28"/>
    </w:rPr>
  </w:style>
  <w:style w:type="paragraph" w:styleId="Heading2">
    <w:name w:val="heading 2"/>
    <w:basedOn w:val="Normal"/>
    <w:next w:val="Normal"/>
    <w:link w:val="Heading2Char"/>
    <w:uiPriority w:val="9"/>
    <w:unhideWhenUsed/>
    <w:qFormat/>
    <w:rsid w:val="00D6773B"/>
    <w:pPr>
      <w:outlineLvl w:val="1"/>
    </w:pPr>
    <w:rPr>
      <w:rFonts w:cs="Calibri"/>
      <w:b/>
      <w:sz w:val="24"/>
      <w:szCs w:val="24"/>
    </w:rPr>
  </w:style>
  <w:style w:type="paragraph" w:styleId="Heading3">
    <w:name w:val="heading 3"/>
    <w:basedOn w:val="Normal"/>
    <w:next w:val="Default"/>
    <w:link w:val="Heading3Char"/>
    <w:uiPriority w:val="99"/>
    <w:qFormat/>
    <w:rsid w:val="00D6773B"/>
    <w:pPr>
      <w:outlineLvl w:val="2"/>
    </w:pPr>
    <w:rPr>
      <w:rFonts w:cs="Calibri"/>
      <w:b/>
    </w:rPr>
  </w:style>
  <w:style w:type="paragraph" w:styleId="Heading4">
    <w:name w:val="heading 4"/>
    <w:basedOn w:val="Normal"/>
    <w:next w:val="Normal"/>
    <w:link w:val="Heading4Char"/>
    <w:uiPriority w:val="9"/>
    <w:semiHidden/>
    <w:unhideWhenUsed/>
    <w:qFormat/>
    <w:rsid w:val="0022540E"/>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rnl">
    <w:name w:val="jrnl"/>
    <w:basedOn w:val="DefaultParagraphFont"/>
    <w:rsid w:val="0073451E"/>
  </w:style>
  <w:style w:type="paragraph" w:customStyle="1" w:styleId="Default">
    <w:name w:val="Default"/>
    <w:rsid w:val="002B2DCC"/>
    <w:pPr>
      <w:autoSpaceDE w:val="0"/>
      <w:autoSpaceDN w:val="0"/>
      <w:adjustRightInd w:val="0"/>
    </w:pPr>
    <w:rPr>
      <w:rFonts w:ascii="Times New Roman" w:hAnsi="Times New Roman"/>
      <w:color w:val="000000"/>
      <w:sz w:val="24"/>
      <w:szCs w:val="24"/>
    </w:rPr>
  </w:style>
  <w:style w:type="character" w:customStyle="1" w:styleId="Heading3Char">
    <w:name w:val="Heading 3 Char"/>
    <w:link w:val="Heading3"/>
    <w:uiPriority w:val="99"/>
    <w:rsid w:val="00D6773B"/>
    <w:rPr>
      <w:rFonts w:cs="Calibri"/>
      <w:b/>
      <w:sz w:val="22"/>
      <w:szCs w:val="22"/>
    </w:rPr>
  </w:style>
  <w:style w:type="character" w:styleId="Strong">
    <w:name w:val="Strong"/>
    <w:uiPriority w:val="22"/>
    <w:qFormat/>
    <w:rsid w:val="002B2DCC"/>
    <w:rPr>
      <w:b/>
      <w:bCs/>
    </w:rPr>
  </w:style>
  <w:style w:type="character" w:styleId="Hyperlink">
    <w:name w:val="Hyperlink"/>
    <w:uiPriority w:val="99"/>
    <w:unhideWhenUsed/>
    <w:rsid w:val="00A668FE"/>
    <w:rPr>
      <w:strike w:val="0"/>
      <w:dstrike w:val="0"/>
      <w:color w:val="0000FF"/>
      <w:u w:val="single"/>
      <w:effect w:val="none"/>
    </w:rPr>
  </w:style>
  <w:style w:type="character" w:customStyle="1" w:styleId="ncitalic1">
    <w:name w:val="ncitalic1"/>
    <w:rsid w:val="00A668FE"/>
    <w:rPr>
      <w:i/>
      <w:iCs/>
      <w:color w:val="000000"/>
    </w:rPr>
  </w:style>
  <w:style w:type="character" w:customStyle="1" w:styleId="meta">
    <w:name w:val="meta"/>
    <w:basedOn w:val="DefaultParagraphFont"/>
    <w:rsid w:val="00AD42B7"/>
  </w:style>
  <w:style w:type="character" w:styleId="FollowedHyperlink">
    <w:name w:val="FollowedHyperlink"/>
    <w:uiPriority w:val="99"/>
    <w:semiHidden/>
    <w:unhideWhenUsed/>
    <w:rsid w:val="006F58D1"/>
    <w:rPr>
      <w:color w:val="800080"/>
      <w:u w:val="single"/>
    </w:rPr>
  </w:style>
  <w:style w:type="character" w:customStyle="1" w:styleId="dnnalignleft">
    <w:name w:val="dnnalignleft"/>
    <w:basedOn w:val="DefaultParagraphFont"/>
    <w:rsid w:val="006F58D1"/>
  </w:style>
  <w:style w:type="character" w:customStyle="1" w:styleId="Heading4Char">
    <w:name w:val="Heading 4 Char"/>
    <w:link w:val="Heading4"/>
    <w:uiPriority w:val="9"/>
    <w:semiHidden/>
    <w:rsid w:val="0022540E"/>
    <w:rPr>
      <w:rFonts w:ascii="Calibri" w:eastAsia="Times New Roman" w:hAnsi="Calibri" w:cs="Times New Roman"/>
      <w:b/>
      <w:bCs/>
      <w:sz w:val="28"/>
      <w:szCs w:val="28"/>
    </w:rPr>
  </w:style>
  <w:style w:type="character" w:customStyle="1" w:styleId="ej-j-source">
    <w:name w:val="ej-j-source"/>
    <w:basedOn w:val="DefaultParagraphFont"/>
    <w:rsid w:val="0022540E"/>
  </w:style>
  <w:style w:type="paragraph" w:styleId="NormalWeb">
    <w:name w:val="Normal (Web)"/>
    <w:basedOn w:val="Normal"/>
    <w:uiPriority w:val="99"/>
    <w:semiHidden/>
    <w:unhideWhenUsed/>
    <w:rsid w:val="00331FE7"/>
    <w:pPr>
      <w:spacing w:before="100" w:beforeAutospacing="1" w:after="100" w:afterAutospacing="1" w:line="240" w:lineRule="auto"/>
    </w:pPr>
    <w:rPr>
      <w:rFonts w:ascii="Times New Roman" w:eastAsia="Times New Roman" w:hAnsi="Times New Roman"/>
      <w:sz w:val="24"/>
      <w:szCs w:val="24"/>
    </w:rPr>
  </w:style>
  <w:style w:type="character" w:customStyle="1" w:styleId="citedby">
    <w:name w:val="citedby_"/>
    <w:rsid w:val="00331FE7"/>
    <w:rPr>
      <w:sz w:val="24"/>
      <w:szCs w:val="24"/>
      <w:bdr w:val="none" w:sz="0" w:space="0" w:color="auto" w:frame="1"/>
      <w:vertAlign w:val="baseline"/>
    </w:rPr>
  </w:style>
  <w:style w:type="character" w:styleId="CommentReference">
    <w:name w:val="annotation reference"/>
    <w:uiPriority w:val="99"/>
    <w:semiHidden/>
    <w:unhideWhenUsed/>
    <w:rsid w:val="00D468A6"/>
    <w:rPr>
      <w:sz w:val="16"/>
      <w:szCs w:val="16"/>
    </w:rPr>
  </w:style>
  <w:style w:type="paragraph" w:styleId="CommentText">
    <w:name w:val="annotation text"/>
    <w:basedOn w:val="Normal"/>
    <w:link w:val="CommentTextChar"/>
    <w:uiPriority w:val="99"/>
    <w:semiHidden/>
    <w:unhideWhenUsed/>
    <w:rsid w:val="00D468A6"/>
    <w:rPr>
      <w:sz w:val="20"/>
      <w:szCs w:val="20"/>
    </w:rPr>
  </w:style>
  <w:style w:type="character" w:customStyle="1" w:styleId="CommentTextChar">
    <w:name w:val="Comment Text Char"/>
    <w:basedOn w:val="DefaultParagraphFont"/>
    <w:link w:val="CommentText"/>
    <w:uiPriority w:val="99"/>
    <w:semiHidden/>
    <w:rsid w:val="00D468A6"/>
  </w:style>
  <w:style w:type="paragraph" w:styleId="CommentSubject">
    <w:name w:val="annotation subject"/>
    <w:basedOn w:val="CommentText"/>
    <w:next w:val="CommentText"/>
    <w:link w:val="CommentSubjectChar"/>
    <w:uiPriority w:val="99"/>
    <w:semiHidden/>
    <w:unhideWhenUsed/>
    <w:rsid w:val="00D468A6"/>
    <w:rPr>
      <w:b/>
      <w:bCs/>
    </w:rPr>
  </w:style>
  <w:style w:type="character" w:customStyle="1" w:styleId="CommentSubjectChar">
    <w:name w:val="Comment Subject Char"/>
    <w:link w:val="CommentSubject"/>
    <w:uiPriority w:val="99"/>
    <w:semiHidden/>
    <w:rsid w:val="00D468A6"/>
    <w:rPr>
      <w:b/>
      <w:bCs/>
    </w:rPr>
  </w:style>
  <w:style w:type="paragraph" w:styleId="BalloonText">
    <w:name w:val="Balloon Text"/>
    <w:basedOn w:val="Normal"/>
    <w:link w:val="BalloonTextChar"/>
    <w:uiPriority w:val="99"/>
    <w:semiHidden/>
    <w:unhideWhenUsed/>
    <w:rsid w:val="00D468A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468A6"/>
    <w:rPr>
      <w:rFonts w:ascii="Tahoma" w:hAnsi="Tahoma" w:cs="Tahoma"/>
      <w:sz w:val="16"/>
      <w:szCs w:val="16"/>
    </w:rPr>
  </w:style>
  <w:style w:type="paragraph" w:styleId="Header">
    <w:name w:val="header"/>
    <w:basedOn w:val="Normal"/>
    <w:link w:val="HeaderChar"/>
    <w:uiPriority w:val="99"/>
    <w:unhideWhenUsed/>
    <w:rsid w:val="003256BA"/>
    <w:pPr>
      <w:tabs>
        <w:tab w:val="center" w:pos="4680"/>
        <w:tab w:val="right" w:pos="9360"/>
      </w:tabs>
    </w:pPr>
  </w:style>
  <w:style w:type="character" w:customStyle="1" w:styleId="HeaderChar">
    <w:name w:val="Header Char"/>
    <w:link w:val="Header"/>
    <w:uiPriority w:val="99"/>
    <w:rsid w:val="003256BA"/>
    <w:rPr>
      <w:sz w:val="22"/>
      <w:szCs w:val="22"/>
    </w:rPr>
  </w:style>
  <w:style w:type="paragraph" w:styleId="Footer">
    <w:name w:val="footer"/>
    <w:basedOn w:val="Normal"/>
    <w:link w:val="FooterChar"/>
    <w:uiPriority w:val="99"/>
    <w:unhideWhenUsed/>
    <w:rsid w:val="003256BA"/>
    <w:pPr>
      <w:tabs>
        <w:tab w:val="center" w:pos="4680"/>
        <w:tab w:val="right" w:pos="9360"/>
      </w:tabs>
    </w:pPr>
  </w:style>
  <w:style w:type="character" w:customStyle="1" w:styleId="FooterChar">
    <w:name w:val="Footer Char"/>
    <w:link w:val="Footer"/>
    <w:uiPriority w:val="99"/>
    <w:rsid w:val="003256BA"/>
    <w:rPr>
      <w:sz w:val="22"/>
      <w:szCs w:val="22"/>
    </w:rPr>
  </w:style>
  <w:style w:type="paragraph" w:styleId="ListParagraph">
    <w:name w:val="List Paragraph"/>
    <w:basedOn w:val="Normal"/>
    <w:uiPriority w:val="34"/>
    <w:qFormat/>
    <w:rsid w:val="00FD6879"/>
    <w:pPr>
      <w:ind w:left="720"/>
    </w:pPr>
  </w:style>
  <w:style w:type="character" w:customStyle="1" w:styleId="Heading1Char">
    <w:name w:val="Heading 1 Char"/>
    <w:link w:val="Heading1"/>
    <w:uiPriority w:val="9"/>
    <w:rsid w:val="00D6773B"/>
    <w:rPr>
      <w:rFonts w:cs="Calibri"/>
      <w:b/>
      <w:sz w:val="28"/>
      <w:szCs w:val="28"/>
    </w:rPr>
  </w:style>
  <w:style w:type="character" w:customStyle="1" w:styleId="Heading2Char">
    <w:name w:val="Heading 2 Char"/>
    <w:link w:val="Heading2"/>
    <w:uiPriority w:val="9"/>
    <w:rsid w:val="00D6773B"/>
    <w:rPr>
      <w:rFonts w:cs="Calibri"/>
      <w:b/>
      <w:sz w:val="24"/>
      <w:szCs w:val="24"/>
    </w:rPr>
  </w:style>
  <w:style w:type="paragraph" w:styleId="Caption">
    <w:name w:val="caption"/>
    <w:basedOn w:val="Normal"/>
    <w:next w:val="Normal"/>
    <w:uiPriority w:val="35"/>
    <w:unhideWhenUsed/>
    <w:qFormat/>
    <w:rsid w:val="00D677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29947">
      <w:bodyDiv w:val="1"/>
      <w:marLeft w:val="0"/>
      <w:marRight w:val="0"/>
      <w:marTop w:val="0"/>
      <w:marBottom w:val="0"/>
      <w:divBdr>
        <w:top w:val="none" w:sz="0" w:space="0" w:color="auto"/>
        <w:left w:val="none" w:sz="0" w:space="0" w:color="auto"/>
        <w:bottom w:val="none" w:sz="0" w:space="0" w:color="auto"/>
        <w:right w:val="none" w:sz="0" w:space="0" w:color="auto"/>
      </w:divBdr>
    </w:div>
    <w:div w:id="405961282">
      <w:bodyDiv w:val="1"/>
      <w:marLeft w:val="0"/>
      <w:marRight w:val="0"/>
      <w:marTop w:val="0"/>
      <w:marBottom w:val="0"/>
      <w:divBdr>
        <w:top w:val="none" w:sz="0" w:space="0" w:color="auto"/>
        <w:left w:val="none" w:sz="0" w:space="0" w:color="auto"/>
        <w:bottom w:val="none" w:sz="0" w:space="0" w:color="auto"/>
        <w:right w:val="none" w:sz="0" w:space="0" w:color="auto"/>
      </w:divBdr>
      <w:divsChild>
        <w:div w:id="230510732">
          <w:marLeft w:val="1636"/>
          <w:marRight w:val="0"/>
          <w:marTop w:val="0"/>
          <w:marBottom w:val="0"/>
          <w:divBdr>
            <w:top w:val="single" w:sz="24" w:space="0" w:color="6C9D30"/>
            <w:left w:val="single" w:sz="2" w:space="0" w:color="2E2E2E"/>
            <w:bottom w:val="single" w:sz="2" w:space="0" w:color="2E2E2E"/>
            <w:right w:val="single" w:sz="2" w:space="0" w:color="2E2E2E"/>
          </w:divBdr>
          <w:divsChild>
            <w:div w:id="1537691390">
              <w:marLeft w:val="0"/>
              <w:marRight w:val="0"/>
              <w:marTop w:val="19"/>
              <w:marBottom w:val="0"/>
              <w:divBdr>
                <w:top w:val="none" w:sz="0" w:space="0" w:color="auto"/>
                <w:left w:val="none" w:sz="0" w:space="0" w:color="auto"/>
                <w:bottom w:val="none" w:sz="0" w:space="0" w:color="auto"/>
                <w:right w:val="none" w:sz="0" w:space="0" w:color="auto"/>
              </w:divBdr>
              <w:divsChild>
                <w:div w:id="518353820">
                  <w:marLeft w:val="0"/>
                  <w:marRight w:val="0"/>
                  <w:marTop w:val="0"/>
                  <w:marBottom w:val="0"/>
                  <w:divBdr>
                    <w:top w:val="none" w:sz="0" w:space="0" w:color="auto"/>
                    <w:left w:val="none" w:sz="0" w:space="0" w:color="auto"/>
                    <w:bottom w:val="none" w:sz="0" w:space="0" w:color="auto"/>
                    <w:right w:val="none" w:sz="0" w:space="0" w:color="auto"/>
                  </w:divBdr>
                  <w:divsChild>
                    <w:div w:id="1243637494">
                      <w:marLeft w:val="0"/>
                      <w:marRight w:val="0"/>
                      <w:marTop w:val="0"/>
                      <w:marBottom w:val="0"/>
                      <w:divBdr>
                        <w:top w:val="none" w:sz="0" w:space="0" w:color="auto"/>
                        <w:left w:val="none" w:sz="0" w:space="0" w:color="auto"/>
                        <w:bottom w:val="none" w:sz="0" w:space="0" w:color="auto"/>
                        <w:right w:val="none" w:sz="0" w:space="0" w:color="auto"/>
                      </w:divBdr>
                      <w:divsChild>
                        <w:div w:id="2049798781">
                          <w:marLeft w:val="0"/>
                          <w:marRight w:val="0"/>
                          <w:marTop w:val="0"/>
                          <w:marBottom w:val="0"/>
                          <w:divBdr>
                            <w:top w:val="none" w:sz="0" w:space="0" w:color="auto"/>
                            <w:left w:val="none" w:sz="0" w:space="0" w:color="auto"/>
                            <w:bottom w:val="none" w:sz="0" w:space="0" w:color="auto"/>
                            <w:right w:val="none" w:sz="0" w:space="0" w:color="auto"/>
                          </w:divBdr>
                          <w:divsChild>
                            <w:div w:id="1333027465">
                              <w:marLeft w:val="0"/>
                              <w:marRight w:val="0"/>
                              <w:marTop w:val="0"/>
                              <w:marBottom w:val="0"/>
                              <w:divBdr>
                                <w:top w:val="none" w:sz="0" w:space="0" w:color="auto"/>
                                <w:left w:val="none" w:sz="0" w:space="0" w:color="auto"/>
                                <w:bottom w:val="none" w:sz="0" w:space="0" w:color="auto"/>
                                <w:right w:val="none" w:sz="0" w:space="0" w:color="auto"/>
                              </w:divBdr>
                            </w:div>
                            <w:div w:id="138001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611063">
      <w:bodyDiv w:val="1"/>
      <w:marLeft w:val="0"/>
      <w:marRight w:val="0"/>
      <w:marTop w:val="0"/>
      <w:marBottom w:val="0"/>
      <w:divBdr>
        <w:top w:val="none" w:sz="0" w:space="0" w:color="auto"/>
        <w:left w:val="none" w:sz="0" w:space="0" w:color="auto"/>
        <w:bottom w:val="none" w:sz="0" w:space="0" w:color="auto"/>
        <w:right w:val="none" w:sz="0" w:space="0" w:color="auto"/>
      </w:divBdr>
    </w:div>
    <w:div w:id="584345412">
      <w:bodyDiv w:val="1"/>
      <w:marLeft w:val="0"/>
      <w:marRight w:val="0"/>
      <w:marTop w:val="0"/>
      <w:marBottom w:val="0"/>
      <w:divBdr>
        <w:top w:val="none" w:sz="0" w:space="0" w:color="auto"/>
        <w:left w:val="none" w:sz="0" w:space="0" w:color="auto"/>
        <w:bottom w:val="none" w:sz="0" w:space="0" w:color="auto"/>
        <w:right w:val="none" w:sz="0" w:space="0" w:color="auto"/>
      </w:divBdr>
      <w:divsChild>
        <w:div w:id="19205215">
          <w:marLeft w:val="1636"/>
          <w:marRight w:val="0"/>
          <w:marTop w:val="0"/>
          <w:marBottom w:val="0"/>
          <w:divBdr>
            <w:top w:val="single" w:sz="24" w:space="0" w:color="6C9D30"/>
            <w:left w:val="single" w:sz="2" w:space="0" w:color="2E2E2E"/>
            <w:bottom w:val="single" w:sz="2" w:space="0" w:color="2E2E2E"/>
            <w:right w:val="single" w:sz="2" w:space="0" w:color="2E2E2E"/>
          </w:divBdr>
          <w:divsChild>
            <w:div w:id="1700623852">
              <w:marLeft w:val="0"/>
              <w:marRight w:val="0"/>
              <w:marTop w:val="19"/>
              <w:marBottom w:val="0"/>
              <w:divBdr>
                <w:top w:val="none" w:sz="0" w:space="0" w:color="auto"/>
                <w:left w:val="none" w:sz="0" w:space="0" w:color="auto"/>
                <w:bottom w:val="none" w:sz="0" w:space="0" w:color="auto"/>
                <w:right w:val="none" w:sz="0" w:space="0" w:color="auto"/>
              </w:divBdr>
              <w:divsChild>
                <w:div w:id="255750852">
                  <w:marLeft w:val="0"/>
                  <w:marRight w:val="0"/>
                  <w:marTop w:val="0"/>
                  <w:marBottom w:val="0"/>
                  <w:divBdr>
                    <w:top w:val="none" w:sz="0" w:space="0" w:color="auto"/>
                    <w:left w:val="none" w:sz="0" w:space="0" w:color="auto"/>
                    <w:bottom w:val="none" w:sz="0" w:space="0" w:color="auto"/>
                    <w:right w:val="none" w:sz="0" w:space="0" w:color="auto"/>
                  </w:divBdr>
                  <w:divsChild>
                    <w:div w:id="2000841916">
                      <w:marLeft w:val="0"/>
                      <w:marRight w:val="0"/>
                      <w:marTop w:val="0"/>
                      <w:marBottom w:val="0"/>
                      <w:divBdr>
                        <w:top w:val="none" w:sz="0" w:space="0" w:color="auto"/>
                        <w:left w:val="none" w:sz="0" w:space="0" w:color="auto"/>
                        <w:bottom w:val="none" w:sz="0" w:space="0" w:color="auto"/>
                        <w:right w:val="none" w:sz="0" w:space="0" w:color="auto"/>
                      </w:divBdr>
                      <w:divsChild>
                        <w:div w:id="669603679">
                          <w:marLeft w:val="0"/>
                          <w:marRight w:val="0"/>
                          <w:marTop w:val="0"/>
                          <w:marBottom w:val="0"/>
                          <w:divBdr>
                            <w:top w:val="none" w:sz="0" w:space="0" w:color="auto"/>
                            <w:left w:val="none" w:sz="0" w:space="0" w:color="auto"/>
                            <w:bottom w:val="none" w:sz="0" w:space="0" w:color="auto"/>
                            <w:right w:val="none" w:sz="0" w:space="0" w:color="auto"/>
                          </w:divBdr>
                          <w:divsChild>
                            <w:div w:id="62487438">
                              <w:marLeft w:val="0"/>
                              <w:marRight w:val="0"/>
                              <w:marTop w:val="0"/>
                              <w:marBottom w:val="0"/>
                              <w:divBdr>
                                <w:top w:val="none" w:sz="0" w:space="0" w:color="auto"/>
                                <w:left w:val="none" w:sz="0" w:space="0" w:color="auto"/>
                                <w:bottom w:val="none" w:sz="0" w:space="0" w:color="auto"/>
                                <w:right w:val="none" w:sz="0" w:space="0" w:color="auto"/>
                              </w:divBdr>
                            </w:div>
                            <w:div w:id="55555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8814908">
      <w:bodyDiv w:val="1"/>
      <w:marLeft w:val="0"/>
      <w:marRight w:val="0"/>
      <w:marTop w:val="0"/>
      <w:marBottom w:val="0"/>
      <w:divBdr>
        <w:top w:val="none" w:sz="0" w:space="0" w:color="auto"/>
        <w:left w:val="none" w:sz="0" w:space="0" w:color="auto"/>
        <w:bottom w:val="none" w:sz="0" w:space="0" w:color="auto"/>
        <w:right w:val="none" w:sz="0" w:space="0" w:color="auto"/>
      </w:divBdr>
    </w:div>
    <w:div w:id="1208950437">
      <w:bodyDiv w:val="1"/>
      <w:marLeft w:val="0"/>
      <w:marRight w:val="0"/>
      <w:marTop w:val="0"/>
      <w:marBottom w:val="0"/>
      <w:divBdr>
        <w:top w:val="none" w:sz="0" w:space="0" w:color="auto"/>
        <w:left w:val="none" w:sz="0" w:space="0" w:color="auto"/>
        <w:bottom w:val="none" w:sz="0" w:space="0" w:color="auto"/>
        <w:right w:val="none" w:sz="0" w:space="0" w:color="auto"/>
      </w:divBdr>
    </w:div>
    <w:div w:id="1220242607">
      <w:bodyDiv w:val="1"/>
      <w:marLeft w:val="0"/>
      <w:marRight w:val="0"/>
      <w:marTop w:val="0"/>
      <w:marBottom w:val="0"/>
      <w:divBdr>
        <w:top w:val="none" w:sz="0" w:space="0" w:color="auto"/>
        <w:left w:val="none" w:sz="0" w:space="0" w:color="auto"/>
        <w:bottom w:val="none" w:sz="0" w:space="0" w:color="auto"/>
        <w:right w:val="none" w:sz="0" w:space="0" w:color="auto"/>
      </w:divBdr>
      <w:divsChild>
        <w:div w:id="306520565">
          <w:marLeft w:val="0"/>
          <w:marRight w:val="0"/>
          <w:marTop w:val="0"/>
          <w:marBottom w:val="0"/>
          <w:divBdr>
            <w:top w:val="none" w:sz="0" w:space="0" w:color="auto"/>
            <w:left w:val="none" w:sz="0" w:space="0" w:color="auto"/>
            <w:bottom w:val="none" w:sz="0" w:space="0" w:color="auto"/>
            <w:right w:val="none" w:sz="0" w:space="0" w:color="auto"/>
          </w:divBdr>
        </w:div>
      </w:divsChild>
    </w:div>
    <w:div w:id="1430852282">
      <w:bodyDiv w:val="1"/>
      <w:marLeft w:val="0"/>
      <w:marRight w:val="0"/>
      <w:marTop w:val="0"/>
      <w:marBottom w:val="0"/>
      <w:divBdr>
        <w:top w:val="none" w:sz="0" w:space="0" w:color="auto"/>
        <w:left w:val="none" w:sz="0" w:space="0" w:color="auto"/>
        <w:bottom w:val="none" w:sz="0" w:space="0" w:color="auto"/>
        <w:right w:val="none" w:sz="0" w:space="0" w:color="auto"/>
      </w:divBdr>
      <w:divsChild>
        <w:div w:id="945304658">
          <w:marLeft w:val="0"/>
          <w:marRight w:val="0"/>
          <w:marTop w:val="0"/>
          <w:marBottom w:val="0"/>
          <w:divBdr>
            <w:top w:val="none" w:sz="0" w:space="0" w:color="auto"/>
            <w:left w:val="none" w:sz="0" w:space="0" w:color="auto"/>
            <w:bottom w:val="none" w:sz="0" w:space="0" w:color="auto"/>
            <w:right w:val="none" w:sz="0" w:space="0" w:color="auto"/>
          </w:divBdr>
          <w:divsChild>
            <w:div w:id="1005323763">
              <w:marLeft w:val="0"/>
              <w:marRight w:val="0"/>
              <w:marTop w:val="0"/>
              <w:marBottom w:val="0"/>
              <w:divBdr>
                <w:top w:val="none" w:sz="0" w:space="0" w:color="auto"/>
                <w:left w:val="none" w:sz="0" w:space="0" w:color="auto"/>
                <w:bottom w:val="none" w:sz="0" w:space="0" w:color="auto"/>
                <w:right w:val="none" w:sz="0" w:space="0" w:color="auto"/>
              </w:divBdr>
              <w:divsChild>
                <w:div w:id="1912541176">
                  <w:marLeft w:val="0"/>
                  <w:marRight w:val="0"/>
                  <w:marTop w:val="0"/>
                  <w:marBottom w:val="374"/>
                  <w:divBdr>
                    <w:top w:val="none" w:sz="0" w:space="0" w:color="auto"/>
                    <w:left w:val="none" w:sz="0" w:space="0" w:color="auto"/>
                    <w:bottom w:val="single" w:sz="8" w:space="0" w:color="E0E0E0"/>
                    <w:right w:val="none" w:sz="0" w:space="0" w:color="auto"/>
                  </w:divBdr>
                  <w:divsChild>
                    <w:div w:id="1697266144">
                      <w:marLeft w:val="0"/>
                      <w:marRight w:val="0"/>
                      <w:marTop w:val="0"/>
                      <w:marBottom w:val="0"/>
                      <w:divBdr>
                        <w:top w:val="none" w:sz="0" w:space="0" w:color="auto"/>
                        <w:left w:val="none" w:sz="0" w:space="0" w:color="auto"/>
                        <w:bottom w:val="none" w:sz="0" w:space="0" w:color="auto"/>
                        <w:right w:val="none" w:sz="0" w:space="0" w:color="auto"/>
                      </w:divBdr>
                      <w:divsChild>
                        <w:div w:id="255789433">
                          <w:marLeft w:val="0"/>
                          <w:marRight w:val="0"/>
                          <w:marTop w:val="0"/>
                          <w:marBottom w:val="374"/>
                          <w:divBdr>
                            <w:top w:val="none" w:sz="0" w:space="0" w:color="auto"/>
                            <w:left w:val="none" w:sz="0" w:space="0" w:color="auto"/>
                            <w:bottom w:val="single" w:sz="12" w:space="0" w:color="EBEBEB"/>
                            <w:right w:val="none" w:sz="0" w:space="0" w:color="auto"/>
                          </w:divBdr>
                          <w:divsChild>
                            <w:div w:id="167163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8259446">
      <w:bodyDiv w:val="1"/>
      <w:marLeft w:val="0"/>
      <w:marRight w:val="0"/>
      <w:marTop w:val="0"/>
      <w:marBottom w:val="0"/>
      <w:divBdr>
        <w:top w:val="none" w:sz="0" w:space="0" w:color="auto"/>
        <w:left w:val="none" w:sz="0" w:space="0" w:color="auto"/>
        <w:bottom w:val="none" w:sz="0" w:space="0" w:color="auto"/>
        <w:right w:val="none" w:sz="0" w:space="0" w:color="auto"/>
      </w:divBdr>
    </w:div>
    <w:div w:id="1557888155">
      <w:bodyDiv w:val="1"/>
      <w:marLeft w:val="0"/>
      <w:marRight w:val="0"/>
      <w:marTop w:val="0"/>
      <w:marBottom w:val="0"/>
      <w:divBdr>
        <w:top w:val="none" w:sz="0" w:space="0" w:color="auto"/>
        <w:left w:val="none" w:sz="0" w:space="0" w:color="auto"/>
        <w:bottom w:val="none" w:sz="0" w:space="0" w:color="auto"/>
        <w:right w:val="none" w:sz="0" w:space="0" w:color="auto"/>
      </w:divBdr>
      <w:divsChild>
        <w:div w:id="1954940304">
          <w:marLeft w:val="0"/>
          <w:marRight w:val="0"/>
          <w:marTop w:val="0"/>
          <w:marBottom w:val="0"/>
          <w:divBdr>
            <w:top w:val="none" w:sz="0" w:space="0" w:color="auto"/>
            <w:left w:val="none" w:sz="0" w:space="0" w:color="auto"/>
            <w:bottom w:val="none" w:sz="0" w:space="0" w:color="auto"/>
            <w:right w:val="none" w:sz="0" w:space="0" w:color="auto"/>
          </w:divBdr>
        </w:div>
      </w:divsChild>
    </w:div>
    <w:div w:id="1606690529">
      <w:bodyDiv w:val="1"/>
      <w:marLeft w:val="0"/>
      <w:marRight w:val="0"/>
      <w:marTop w:val="0"/>
      <w:marBottom w:val="0"/>
      <w:divBdr>
        <w:top w:val="none" w:sz="0" w:space="0" w:color="auto"/>
        <w:left w:val="none" w:sz="0" w:space="0" w:color="auto"/>
        <w:bottom w:val="none" w:sz="0" w:space="0" w:color="auto"/>
        <w:right w:val="none" w:sz="0" w:space="0" w:color="auto"/>
      </w:divBdr>
      <w:divsChild>
        <w:div w:id="1209368481">
          <w:marLeft w:val="1636"/>
          <w:marRight w:val="0"/>
          <w:marTop w:val="0"/>
          <w:marBottom w:val="0"/>
          <w:divBdr>
            <w:top w:val="single" w:sz="24" w:space="0" w:color="6C9D30"/>
            <w:left w:val="single" w:sz="2" w:space="0" w:color="2E2E2E"/>
            <w:bottom w:val="single" w:sz="2" w:space="0" w:color="2E2E2E"/>
            <w:right w:val="single" w:sz="2" w:space="0" w:color="2E2E2E"/>
          </w:divBdr>
          <w:divsChild>
            <w:div w:id="1454053736">
              <w:marLeft w:val="0"/>
              <w:marRight w:val="0"/>
              <w:marTop w:val="19"/>
              <w:marBottom w:val="0"/>
              <w:divBdr>
                <w:top w:val="none" w:sz="0" w:space="0" w:color="auto"/>
                <w:left w:val="none" w:sz="0" w:space="0" w:color="auto"/>
                <w:bottom w:val="none" w:sz="0" w:space="0" w:color="auto"/>
                <w:right w:val="none" w:sz="0" w:space="0" w:color="auto"/>
              </w:divBdr>
              <w:divsChild>
                <w:div w:id="1411271904">
                  <w:marLeft w:val="0"/>
                  <w:marRight w:val="0"/>
                  <w:marTop w:val="0"/>
                  <w:marBottom w:val="0"/>
                  <w:divBdr>
                    <w:top w:val="none" w:sz="0" w:space="0" w:color="auto"/>
                    <w:left w:val="none" w:sz="0" w:space="0" w:color="auto"/>
                    <w:bottom w:val="none" w:sz="0" w:space="0" w:color="auto"/>
                    <w:right w:val="none" w:sz="0" w:space="0" w:color="auto"/>
                  </w:divBdr>
                  <w:divsChild>
                    <w:div w:id="1667242411">
                      <w:marLeft w:val="0"/>
                      <w:marRight w:val="0"/>
                      <w:marTop w:val="0"/>
                      <w:marBottom w:val="0"/>
                      <w:divBdr>
                        <w:top w:val="none" w:sz="0" w:space="0" w:color="auto"/>
                        <w:left w:val="none" w:sz="0" w:space="0" w:color="auto"/>
                        <w:bottom w:val="none" w:sz="0" w:space="0" w:color="auto"/>
                        <w:right w:val="none" w:sz="0" w:space="0" w:color="auto"/>
                      </w:divBdr>
                      <w:divsChild>
                        <w:div w:id="129237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864829">
      <w:bodyDiv w:val="1"/>
      <w:marLeft w:val="0"/>
      <w:marRight w:val="0"/>
      <w:marTop w:val="0"/>
      <w:marBottom w:val="0"/>
      <w:divBdr>
        <w:top w:val="none" w:sz="0" w:space="0" w:color="auto"/>
        <w:left w:val="none" w:sz="0" w:space="0" w:color="auto"/>
        <w:bottom w:val="none" w:sz="0" w:space="0" w:color="auto"/>
        <w:right w:val="none" w:sz="0" w:space="0" w:color="auto"/>
      </w:divBdr>
    </w:div>
    <w:div w:id="1735008433">
      <w:bodyDiv w:val="1"/>
      <w:marLeft w:val="0"/>
      <w:marRight w:val="0"/>
      <w:marTop w:val="0"/>
      <w:marBottom w:val="0"/>
      <w:divBdr>
        <w:top w:val="none" w:sz="0" w:space="0" w:color="auto"/>
        <w:left w:val="none" w:sz="0" w:space="0" w:color="auto"/>
        <w:bottom w:val="none" w:sz="0" w:space="0" w:color="auto"/>
        <w:right w:val="none" w:sz="0" w:space="0" w:color="auto"/>
      </w:divBdr>
    </w:div>
    <w:div w:id="1806003851">
      <w:bodyDiv w:val="1"/>
      <w:marLeft w:val="0"/>
      <w:marRight w:val="0"/>
      <w:marTop w:val="0"/>
      <w:marBottom w:val="0"/>
      <w:divBdr>
        <w:top w:val="none" w:sz="0" w:space="0" w:color="auto"/>
        <w:left w:val="none" w:sz="0" w:space="0" w:color="auto"/>
        <w:bottom w:val="none" w:sz="0" w:space="0" w:color="auto"/>
        <w:right w:val="none" w:sz="0" w:space="0" w:color="auto"/>
      </w:divBdr>
      <w:divsChild>
        <w:div w:id="972173748">
          <w:marLeft w:val="0"/>
          <w:marRight w:val="0"/>
          <w:marTop w:val="0"/>
          <w:marBottom w:val="0"/>
          <w:divBdr>
            <w:top w:val="none" w:sz="0" w:space="0" w:color="auto"/>
            <w:left w:val="none" w:sz="0" w:space="0" w:color="auto"/>
            <w:bottom w:val="none" w:sz="0" w:space="0" w:color="auto"/>
            <w:right w:val="none" w:sz="0" w:space="0" w:color="auto"/>
          </w:divBdr>
          <w:divsChild>
            <w:div w:id="409163093">
              <w:marLeft w:val="0"/>
              <w:marRight w:val="0"/>
              <w:marTop w:val="0"/>
              <w:marBottom w:val="0"/>
              <w:divBdr>
                <w:top w:val="none" w:sz="0" w:space="0" w:color="auto"/>
                <w:left w:val="none" w:sz="0" w:space="0" w:color="auto"/>
                <w:bottom w:val="none" w:sz="0" w:space="0" w:color="auto"/>
                <w:right w:val="none" w:sz="0" w:space="0" w:color="auto"/>
              </w:divBdr>
              <w:divsChild>
                <w:div w:id="126510428">
                  <w:marLeft w:val="0"/>
                  <w:marRight w:val="0"/>
                  <w:marTop w:val="0"/>
                  <w:marBottom w:val="0"/>
                  <w:divBdr>
                    <w:top w:val="none" w:sz="0" w:space="0" w:color="auto"/>
                    <w:left w:val="none" w:sz="0" w:space="0" w:color="auto"/>
                    <w:bottom w:val="none" w:sz="0" w:space="0" w:color="auto"/>
                    <w:right w:val="none" w:sz="0" w:space="0" w:color="auto"/>
                  </w:divBdr>
                  <w:divsChild>
                    <w:div w:id="68045753">
                      <w:marLeft w:val="0"/>
                      <w:marRight w:val="0"/>
                      <w:marTop w:val="0"/>
                      <w:marBottom w:val="0"/>
                      <w:divBdr>
                        <w:top w:val="none" w:sz="0" w:space="0" w:color="auto"/>
                        <w:left w:val="none" w:sz="0" w:space="0" w:color="auto"/>
                        <w:bottom w:val="none" w:sz="0" w:space="0" w:color="auto"/>
                        <w:right w:val="none" w:sz="0" w:space="0" w:color="auto"/>
                      </w:divBdr>
                      <w:divsChild>
                        <w:div w:id="1405032129">
                          <w:marLeft w:val="0"/>
                          <w:marRight w:val="0"/>
                          <w:marTop w:val="0"/>
                          <w:marBottom w:val="0"/>
                          <w:divBdr>
                            <w:top w:val="none" w:sz="0" w:space="0" w:color="auto"/>
                            <w:left w:val="none" w:sz="0" w:space="0" w:color="auto"/>
                            <w:bottom w:val="none" w:sz="0" w:space="0" w:color="auto"/>
                            <w:right w:val="none" w:sz="0" w:space="0" w:color="auto"/>
                          </w:divBdr>
                          <w:divsChild>
                            <w:div w:id="6103341">
                              <w:marLeft w:val="0"/>
                              <w:marRight w:val="0"/>
                              <w:marTop w:val="0"/>
                              <w:marBottom w:val="0"/>
                              <w:divBdr>
                                <w:top w:val="none" w:sz="0" w:space="0" w:color="auto"/>
                                <w:left w:val="none" w:sz="0" w:space="0" w:color="auto"/>
                                <w:bottom w:val="none" w:sz="0" w:space="0" w:color="auto"/>
                                <w:right w:val="none" w:sz="0" w:space="0" w:color="auto"/>
                              </w:divBdr>
                              <w:divsChild>
                                <w:div w:id="2127849382">
                                  <w:marLeft w:val="0"/>
                                  <w:marRight w:val="0"/>
                                  <w:marTop w:val="0"/>
                                  <w:marBottom w:val="0"/>
                                  <w:divBdr>
                                    <w:top w:val="none" w:sz="0" w:space="0" w:color="auto"/>
                                    <w:left w:val="none" w:sz="0" w:space="0" w:color="auto"/>
                                    <w:bottom w:val="none" w:sz="0" w:space="0" w:color="auto"/>
                                    <w:right w:val="none" w:sz="0" w:space="0" w:color="auto"/>
                                  </w:divBdr>
                                  <w:divsChild>
                                    <w:div w:id="1664818441">
                                      <w:marLeft w:val="0"/>
                                      <w:marRight w:val="0"/>
                                      <w:marTop w:val="0"/>
                                      <w:marBottom w:val="0"/>
                                      <w:divBdr>
                                        <w:top w:val="none" w:sz="0" w:space="0" w:color="auto"/>
                                        <w:left w:val="none" w:sz="0" w:space="0" w:color="auto"/>
                                        <w:bottom w:val="none" w:sz="0" w:space="0" w:color="auto"/>
                                        <w:right w:val="none" w:sz="0" w:space="0" w:color="auto"/>
                                      </w:divBdr>
                                      <w:divsChild>
                                        <w:div w:id="1457677131">
                                          <w:marLeft w:val="0"/>
                                          <w:marRight w:val="0"/>
                                          <w:marTop w:val="0"/>
                                          <w:marBottom w:val="0"/>
                                          <w:divBdr>
                                            <w:top w:val="none" w:sz="0" w:space="0" w:color="auto"/>
                                            <w:left w:val="none" w:sz="0" w:space="0" w:color="auto"/>
                                            <w:bottom w:val="none" w:sz="0" w:space="0" w:color="auto"/>
                                            <w:right w:val="none" w:sz="0" w:space="0" w:color="auto"/>
                                          </w:divBdr>
                                          <w:divsChild>
                                            <w:div w:id="147818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7041457">
      <w:bodyDiv w:val="1"/>
      <w:marLeft w:val="0"/>
      <w:marRight w:val="0"/>
      <w:marTop w:val="0"/>
      <w:marBottom w:val="0"/>
      <w:divBdr>
        <w:top w:val="none" w:sz="0" w:space="0" w:color="auto"/>
        <w:left w:val="none" w:sz="0" w:space="0" w:color="auto"/>
        <w:bottom w:val="none" w:sz="0" w:space="0" w:color="auto"/>
        <w:right w:val="none" w:sz="0" w:space="0" w:color="auto"/>
      </w:divBdr>
    </w:div>
    <w:div w:id="2122989199">
      <w:bodyDiv w:val="1"/>
      <w:marLeft w:val="0"/>
      <w:marRight w:val="0"/>
      <w:marTop w:val="0"/>
      <w:marBottom w:val="0"/>
      <w:divBdr>
        <w:top w:val="none" w:sz="0" w:space="0" w:color="auto"/>
        <w:left w:val="none" w:sz="0" w:space="0" w:color="auto"/>
        <w:bottom w:val="none" w:sz="0" w:space="0" w:color="auto"/>
        <w:right w:val="none" w:sz="0" w:space="0" w:color="auto"/>
      </w:divBdr>
      <w:divsChild>
        <w:div w:id="405343386">
          <w:marLeft w:val="0"/>
          <w:marRight w:val="0"/>
          <w:marTop w:val="0"/>
          <w:marBottom w:val="0"/>
          <w:divBdr>
            <w:top w:val="none" w:sz="0" w:space="0" w:color="auto"/>
            <w:left w:val="none" w:sz="0" w:space="0" w:color="auto"/>
            <w:bottom w:val="none" w:sz="0" w:space="0" w:color="auto"/>
            <w:right w:val="none" w:sz="0" w:space="0" w:color="auto"/>
          </w:divBdr>
          <w:divsChild>
            <w:div w:id="1899895383">
              <w:marLeft w:val="0"/>
              <w:marRight w:val="0"/>
              <w:marTop w:val="0"/>
              <w:marBottom w:val="0"/>
              <w:divBdr>
                <w:top w:val="none" w:sz="0" w:space="0" w:color="auto"/>
                <w:left w:val="none" w:sz="0" w:space="0" w:color="auto"/>
                <w:bottom w:val="none" w:sz="0" w:space="0" w:color="auto"/>
                <w:right w:val="none" w:sz="0" w:space="0" w:color="auto"/>
              </w:divBdr>
              <w:divsChild>
                <w:div w:id="1683431346">
                  <w:marLeft w:val="0"/>
                  <w:marRight w:val="0"/>
                  <w:marTop w:val="0"/>
                  <w:marBottom w:val="0"/>
                  <w:divBdr>
                    <w:top w:val="none" w:sz="0" w:space="0" w:color="auto"/>
                    <w:left w:val="none" w:sz="0" w:space="0" w:color="auto"/>
                    <w:bottom w:val="none" w:sz="0" w:space="0" w:color="auto"/>
                    <w:right w:val="none" w:sz="0" w:space="0" w:color="auto"/>
                  </w:divBdr>
                  <w:divsChild>
                    <w:div w:id="708385393">
                      <w:marLeft w:val="0"/>
                      <w:marRight w:val="0"/>
                      <w:marTop w:val="75"/>
                      <w:marBottom w:val="150"/>
                      <w:divBdr>
                        <w:top w:val="none" w:sz="0" w:space="0" w:color="auto"/>
                        <w:left w:val="none" w:sz="0" w:space="0" w:color="auto"/>
                        <w:bottom w:val="none" w:sz="0" w:space="0" w:color="auto"/>
                        <w:right w:val="none" w:sz="0" w:space="0" w:color="auto"/>
                      </w:divBdr>
                      <w:divsChild>
                        <w:div w:id="1945919749">
                          <w:marLeft w:val="0"/>
                          <w:marRight w:val="0"/>
                          <w:marTop w:val="0"/>
                          <w:marBottom w:val="0"/>
                          <w:divBdr>
                            <w:top w:val="single" w:sz="2" w:space="0" w:color="CCCCCC"/>
                            <w:left w:val="single" w:sz="2" w:space="0" w:color="CCCCCC"/>
                            <w:bottom w:val="single" w:sz="2" w:space="0" w:color="CCCCCC"/>
                            <w:right w:val="single" w:sz="2" w:space="0" w:color="CCCCCC"/>
                          </w:divBdr>
                          <w:divsChild>
                            <w:div w:id="464081438">
                              <w:marLeft w:val="0"/>
                              <w:marRight w:val="0"/>
                              <w:marTop w:val="0"/>
                              <w:marBottom w:val="0"/>
                              <w:divBdr>
                                <w:top w:val="none" w:sz="0" w:space="0" w:color="auto"/>
                                <w:left w:val="none" w:sz="0" w:space="0" w:color="auto"/>
                                <w:bottom w:val="none" w:sz="0" w:space="0" w:color="auto"/>
                                <w:right w:val="none" w:sz="0" w:space="0" w:color="auto"/>
                              </w:divBdr>
                              <w:divsChild>
                                <w:div w:id="477116053">
                                  <w:marLeft w:val="0"/>
                                  <w:marRight w:val="0"/>
                                  <w:marTop w:val="0"/>
                                  <w:marBottom w:val="0"/>
                                  <w:divBdr>
                                    <w:top w:val="none" w:sz="0" w:space="0" w:color="auto"/>
                                    <w:left w:val="none" w:sz="0" w:space="0" w:color="auto"/>
                                    <w:bottom w:val="none" w:sz="0" w:space="0" w:color="auto"/>
                                    <w:right w:val="none" w:sz="0" w:space="0" w:color="auto"/>
                                  </w:divBdr>
                                  <w:divsChild>
                                    <w:div w:id="164011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1255</Words>
  <Characters>7158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Altarum Institute</Company>
  <LinksUpToDate>false</LinksUpToDate>
  <CharactersWithSpaces>8397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Traumatic Brain Injury Common Data Element Outcome Measure Recommendations</dc:title>
  <dc:subject>CRF</dc:subject>
  <dc:creator>NINDS</dc:creator>
  <cp:keywords>NINDS, CRF, Traumatic Brain Injury Common Data Element</cp:keywords>
  <cp:lastModifiedBy>Andy Franklin</cp:lastModifiedBy>
  <cp:revision>2</cp:revision>
  <dcterms:created xsi:type="dcterms:W3CDTF">2014-05-16T14:50:00Z</dcterms:created>
  <dcterms:modified xsi:type="dcterms:W3CDTF">2014-05-16T14:50:00Z</dcterms:modified>
  <cp:category>CRF</cp:category>
  <cp:contentStatus>508 Compliant</cp:contentStatus>
</cp:coreProperties>
</file>