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10BFF" w14:textId="77777777" w:rsidR="00913F59" w:rsidRPr="00913F59" w:rsidRDefault="00913F59" w:rsidP="00913F59">
      <w:pPr>
        <w:rPr>
          <w:u w:val="single"/>
        </w:rPr>
      </w:pPr>
      <w:r w:rsidRPr="00913F59">
        <w:rPr>
          <w:rFonts w:asciiTheme="minorHAnsi" w:hAnsiTheme="minorHAnsi"/>
          <w:sz w:val="24"/>
          <w:u w:val="single"/>
        </w:rPr>
        <w:t>Collection, Processing, Storage and Shipment from Adult Participants/Subjects:</w:t>
      </w:r>
    </w:p>
    <w:p w14:paraId="4235FD58" w14:textId="77777777" w:rsidR="00913F59" w:rsidRPr="00FE1919" w:rsidRDefault="00913F59" w:rsidP="00913F59"/>
    <w:p w14:paraId="2C44EC4A" w14:textId="77777777" w:rsidR="00913F59" w:rsidRPr="00FE1919" w:rsidRDefault="00913F59" w:rsidP="00913F59">
      <w:pPr>
        <w:pStyle w:val="Heading3"/>
        <w:numPr>
          <w:ilvl w:val="0"/>
          <w:numId w:val="8"/>
        </w:numPr>
        <w:spacing w:line="240" w:lineRule="auto"/>
        <w:ind w:left="720"/>
        <w:rPr>
          <w:caps/>
        </w:rPr>
      </w:pPr>
      <w:r w:rsidRPr="00FE1919">
        <w:rPr>
          <w:caps/>
        </w:rPr>
        <w:t>Acquisition of Blood Biospecimens</w:t>
      </w:r>
    </w:p>
    <w:p w14:paraId="6B29AC1F" w14:textId="77777777" w:rsidR="00913F59" w:rsidRPr="00FE1919" w:rsidRDefault="00913F59" w:rsidP="00913F59">
      <w:pPr>
        <w:pStyle w:val="ListParagraph"/>
        <w:numPr>
          <w:ilvl w:val="0"/>
          <w:numId w:val="9"/>
        </w:numPr>
        <w:rPr>
          <w:rFonts w:asciiTheme="minorHAnsi" w:hAnsiTheme="minorHAnsi" w:cs="Arial"/>
          <w:sz w:val="22"/>
          <w:szCs w:val="22"/>
        </w:rPr>
      </w:pPr>
      <w:r w:rsidRPr="00FE1919">
        <w:rPr>
          <w:rFonts w:asciiTheme="minorHAnsi" w:hAnsiTheme="minorHAnsi" w:cs="Arial"/>
          <w:sz w:val="22"/>
          <w:szCs w:val="22"/>
        </w:rPr>
        <w:t xml:space="preserve">For severely injured patients, blood </w:t>
      </w:r>
      <w:r w:rsidRPr="00FE1919">
        <w:rPr>
          <w:rFonts w:asciiTheme="minorHAnsi" w:hAnsiTheme="minorHAnsi"/>
          <w:sz w:val="22"/>
          <w:szCs w:val="22"/>
        </w:rPr>
        <w:t xml:space="preserve">is collected via vascular access catheters that have been placed as part of the patients’ routine medical care. For other patients, </w:t>
      </w:r>
      <w:r w:rsidRPr="00FE1919">
        <w:rPr>
          <w:rFonts w:asciiTheme="minorHAnsi" w:hAnsiTheme="minorHAnsi" w:cs="Arial"/>
          <w:sz w:val="22"/>
          <w:szCs w:val="22"/>
        </w:rPr>
        <w:t>trained personnel collect blood through venipuncture.</w:t>
      </w:r>
    </w:p>
    <w:p w14:paraId="38BD07EA" w14:textId="77777777" w:rsidR="00913F59" w:rsidRPr="00FE1919" w:rsidRDefault="00913F59" w:rsidP="00913F59">
      <w:pPr>
        <w:pStyle w:val="ListParagraph"/>
        <w:numPr>
          <w:ilvl w:val="0"/>
          <w:numId w:val="9"/>
        </w:numPr>
        <w:rPr>
          <w:rFonts w:asciiTheme="minorHAnsi" w:hAnsiTheme="minorHAnsi" w:cs="Arial"/>
          <w:sz w:val="22"/>
          <w:szCs w:val="22"/>
        </w:rPr>
      </w:pPr>
      <w:r w:rsidRPr="00FE1919">
        <w:rPr>
          <w:rFonts w:asciiTheme="minorHAnsi" w:hAnsiTheme="minorHAnsi" w:cs="Arial"/>
          <w:sz w:val="22"/>
          <w:szCs w:val="22"/>
        </w:rPr>
        <w:t>For most purposes, 5 – 10 mL of whole blood will be collected using a vacutainer system. It should be noted that the use of glass tubes can lead to low values for certain analytes. For the most generalizable purposes, polypropylene vacutainers and subsequent storage tubes are recommended.</w:t>
      </w:r>
    </w:p>
    <w:p w14:paraId="46E57027" w14:textId="77777777" w:rsidR="00913F59" w:rsidRPr="00FE1919" w:rsidRDefault="00913F59" w:rsidP="00913F59">
      <w:pPr>
        <w:pStyle w:val="ListParagraph"/>
        <w:ind w:left="990"/>
        <w:rPr>
          <w:rFonts w:cs="Arial"/>
          <w:szCs w:val="20"/>
        </w:rPr>
      </w:pPr>
    </w:p>
    <w:p w14:paraId="6B0C6155" w14:textId="77777777" w:rsidR="00913F59" w:rsidRPr="00FE1919" w:rsidRDefault="00913F59" w:rsidP="00913F59">
      <w:pPr>
        <w:pStyle w:val="Heading3"/>
        <w:numPr>
          <w:ilvl w:val="0"/>
          <w:numId w:val="8"/>
        </w:numPr>
        <w:spacing w:line="240" w:lineRule="auto"/>
        <w:ind w:left="720"/>
        <w:rPr>
          <w:caps/>
        </w:rPr>
      </w:pPr>
      <w:r w:rsidRPr="00FE1919">
        <w:rPr>
          <w:caps/>
        </w:rPr>
        <w:t>Local Processing (Serum)</w:t>
      </w:r>
    </w:p>
    <w:p w14:paraId="54FED990" w14:textId="77777777" w:rsidR="00913F59" w:rsidRPr="00FE1919" w:rsidRDefault="00913F59" w:rsidP="00913F59">
      <w:pPr>
        <w:pStyle w:val="ListParagraph"/>
        <w:numPr>
          <w:ilvl w:val="2"/>
          <w:numId w:val="2"/>
        </w:numPr>
        <w:rPr>
          <w:rFonts w:asciiTheme="minorHAnsi" w:hAnsiTheme="minorHAnsi" w:cs="Arial"/>
          <w:sz w:val="22"/>
          <w:szCs w:val="22"/>
        </w:rPr>
      </w:pPr>
      <w:r w:rsidRPr="00FE1919">
        <w:rPr>
          <w:rFonts w:asciiTheme="minorHAnsi" w:hAnsiTheme="minorHAnsi" w:cs="Arial"/>
          <w:sz w:val="22"/>
          <w:szCs w:val="22"/>
        </w:rPr>
        <w:t>Blood samples should be collected in vacutainers that contain no anticoagulant for the processing of serum.</w:t>
      </w:r>
    </w:p>
    <w:p w14:paraId="4FED4181" w14:textId="77777777" w:rsidR="00913F59" w:rsidRPr="00FE1919" w:rsidRDefault="00913F59" w:rsidP="00913F59">
      <w:pPr>
        <w:pStyle w:val="ListParagraph"/>
        <w:numPr>
          <w:ilvl w:val="2"/>
          <w:numId w:val="2"/>
        </w:numPr>
        <w:rPr>
          <w:rFonts w:asciiTheme="minorHAnsi" w:hAnsiTheme="minorHAnsi"/>
          <w:sz w:val="22"/>
          <w:szCs w:val="22"/>
        </w:rPr>
      </w:pPr>
      <w:r w:rsidRPr="00FE1919">
        <w:rPr>
          <w:rFonts w:asciiTheme="minorHAnsi" w:hAnsiTheme="minorHAnsi"/>
          <w:sz w:val="22"/>
          <w:szCs w:val="22"/>
        </w:rPr>
        <w:t>Samples should be sat upright at room temperature for 30 minutes to allow for clotting. If clot is not formed, allow to set for up to 30 additonal minutes.</w:t>
      </w:r>
      <w:r>
        <w:rPr>
          <w:rFonts w:asciiTheme="minorHAnsi" w:hAnsiTheme="minorHAnsi"/>
          <w:sz w:val="22"/>
          <w:szCs w:val="22"/>
        </w:rPr>
        <w:t xml:space="preserve"> DO NOT exceed 60 minutes for clotting.</w:t>
      </w:r>
    </w:p>
    <w:p w14:paraId="5BF6C3AF" w14:textId="77777777" w:rsidR="00913F59" w:rsidRPr="00FE1919" w:rsidRDefault="00913F59" w:rsidP="00913F59">
      <w:pPr>
        <w:pStyle w:val="ListParagraph"/>
        <w:numPr>
          <w:ilvl w:val="2"/>
          <w:numId w:val="2"/>
        </w:numPr>
        <w:rPr>
          <w:rFonts w:asciiTheme="minorHAnsi" w:hAnsiTheme="minorHAnsi" w:cs="Arial"/>
          <w:sz w:val="22"/>
          <w:szCs w:val="22"/>
        </w:rPr>
      </w:pPr>
      <w:r w:rsidRPr="00FE1919">
        <w:rPr>
          <w:rFonts w:asciiTheme="minorHAnsi" w:hAnsiTheme="minorHAnsi" w:cs="Arial"/>
          <w:sz w:val="22"/>
          <w:szCs w:val="22"/>
        </w:rPr>
        <w:t>Label cryovials before processing sample.</w:t>
      </w:r>
    </w:p>
    <w:p w14:paraId="24BDF7E7" w14:textId="77777777" w:rsidR="00913F59" w:rsidRPr="00FE1919" w:rsidRDefault="00913F59" w:rsidP="00913F59">
      <w:pPr>
        <w:pStyle w:val="ListParagraph"/>
        <w:numPr>
          <w:ilvl w:val="2"/>
          <w:numId w:val="2"/>
        </w:numPr>
        <w:rPr>
          <w:rFonts w:asciiTheme="minorHAnsi" w:hAnsiTheme="minorHAnsi" w:cs="Arial"/>
          <w:sz w:val="22"/>
          <w:szCs w:val="22"/>
        </w:rPr>
      </w:pPr>
      <w:r w:rsidRPr="00FE1919">
        <w:rPr>
          <w:rFonts w:asciiTheme="minorHAnsi" w:hAnsiTheme="minorHAnsi" w:cs="Arial"/>
          <w:sz w:val="22"/>
          <w:szCs w:val="22"/>
        </w:rPr>
        <w:t xml:space="preserve">Once clotted, centrifuge </w:t>
      </w:r>
      <w:r w:rsidRPr="00FE1919">
        <w:rPr>
          <w:rFonts w:asciiTheme="minorHAnsi" w:hAnsiTheme="minorHAnsi"/>
          <w:sz w:val="22"/>
          <w:szCs w:val="22"/>
        </w:rPr>
        <w:t>at 1</w:t>
      </w:r>
      <w:r>
        <w:rPr>
          <w:rFonts w:asciiTheme="minorHAnsi" w:hAnsiTheme="minorHAnsi"/>
          <w:sz w:val="22"/>
          <w:szCs w:val="22"/>
        </w:rPr>
        <w:t>1</w:t>
      </w:r>
      <w:r w:rsidRPr="00FE1919">
        <w:rPr>
          <w:rFonts w:asciiTheme="minorHAnsi" w:hAnsiTheme="minorHAnsi"/>
          <w:sz w:val="22"/>
          <w:szCs w:val="22"/>
        </w:rPr>
        <w:t>00</w:t>
      </w:r>
      <w:r>
        <w:rPr>
          <w:rFonts w:asciiTheme="minorHAnsi" w:hAnsiTheme="minorHAnsi"/>
          <w:sz w:val="22"/>
          <w:szCs w:val="22"/>
        </w:rPr>
        <w:t xml:space="preserve"> - 1500</w:t>
      </w:r>
      <w:r w:rsidRPr="00FE1919">
        <w:rPr>
          <w:rFonts w:asciiTheme="minorHAnsi" w:hAnsiTheme="minorHAnsi"/>
          <w:sz w:val="22"/>
          <w:szCs w:val="22"/>
        </w:rPr>
        <w:t xml:space="preserve"> rcf (xg) at room temperature for 10</w:t>
      </w:r>
      <w:r>
        <w:rPr>
          <w:rFonts w:asciiTheme="minorHAnsi" w:hAnsiTheme="minorHAnsi"/>
          <w:sz w:val="22"/>
          <w:szCs w:val="22"/>
        </w:rPr>
        <w:t>-20</w:t>
      </w:r>
      <w:r w:rsidRPr="00FE1919">
        <w:rPr>
          <w:rFonts w:asciiTheme="minorHAnsi" w:hAnsiTheme="minorHAnsi"/>
          <w:sz w:val="22"/>
          <w:szCs w:val="22"/>
        </w:rPr>
        <w:t xml:space="preserve"> minutes</w:t>
      </w:r>
      <w:r>
        <w:rPr>
          <w:rFonts w:asciiTheme="minorHAnsi" w:hAnsiTheme="minorHAnsi"/>
          <w:sz w:val="22"/>
          <w:szCs w:val="22"/>
        </w:rPr>
        <w:t xml:space="preserve"> (</w:t>
      </w:r>
      <w:r w:rsidRPr="00C47761">
        <w:rPr>
          <w:rFonts w:asciiTheme="minorHAnsi" w:hAnsiTheme="minorHAnsi"/>
          <w:sz w:val="22"/>
          <w:szCs w:val="22"/>
        </w:rPr>
        <w:t>http://www.bd.com/vacutainer/pdfs/VDP40161.pdf</w:t>
      </w:r>
      <w:r>
        <w:rPr>
          <w:rFonts w:asciiTheme="minorHAnsi" w:hAnsiTheme="minorHAnsi"/>
          <w:sz w:val="22"/>
          <w:szCs w:val="22"/>
        </w:rPr>
        <w:t>)</w:t>
      </w:r>
      <w:r w:rsidRPr="00FE1919">
        <w:rPr>
          <w:rFonts w:asciiTheme="minorHAnsi" w:hAnsiTheme="minorHAnsi"/>
          <w:sz w:val="22"/>
          <w:szCs w:val="22"/>
        </w:rPr>
        <w:t xml:space="preserve">. Transfer serum to cryovials and store in </w:t>
      </w:r>
      <w:r w:rsidRPr="00FE1919">
        <w:rPr>
          <w:rFonts w:asciiTheme="minorHAnsi" w:hAnsiTheme="minorHAnsi" w:cs="Arial"/>
          <w:sz w:val="22"/>
          <w:szCs w:val="22"/>
        </w:rPr>
        <w:t xml:space="preserve">500 </w:t>
      </w:r>
      <w:r>
        <w:rPr>
          <w:rFonts w:asciiTheme="minorHAnsi" w:hAnsiTheme="minorHAnsi" w:cs="Arial"/>
          <w:sz w:val="22"/>
          <w:szCs w:val="22"/>
        </w:rPr>
        <w:t>u</w:t>
      </w:r>
      <w:r w:rsidRPr="00FE1919">
        <w:rPr>
          <w:rFonts w:asciiTheme="minorHAnsi" w:hAnsiTheme="minorHAnsi" w:cs="Arial"/>
          <w:sz w:val="22"/>
          <w:szCs w:val="22"/>
        </w:rPr>
        <w:t xml:space="preserve">L </w:t>
      </w:r>
      <w:r w:rsidRPr="00FE1919">
        <w:rPr>
          <w:rFonts w:asciiTheme="minorHAnsi" w:hAnsiTheme="minorHAnsi"/>
          <w:sz w:val="22"/>
          <w:szCs w:val="22"/>
        </w:rPr>
        <w:t>aliquots.</w:t>
      </w:r>
    </w:p>
    <w:p w14:paraId="26DC1EE7" w14:textId="77777777" w:rsidR="00913F59" w:rsidRPr="00FE1919" w:rsidRDefault="00913F59" w:rsidP="00913F59">
      <w:pPr>
        <w:pStyle w:val="ListParagraph"/>
        <w:numPr>
          <w:ilvl w:val="2"/>
          <w:numId w:val="2"/>
        </w:numPr>
        <w:rPr>
          <w:rFonts w:asciiTheme="minorHAnsi" w:hAnsiTheme="minorHAnsi" w:cs="Arial"/>
          <w:sz w:val="22"/>
          <w:szCs w:val="22"/>
        </w:rPr>
      </w:pPr>
      <w:r w:rsidRPr="00FE1919">
        <w:rPr>
          <w:rFonts w:asciiTheme="minorHAnsi" w:hAnsiTheme="minorHAnsi"/>
          <w:sz w:val="22"/>
          <w:szCs w:val="22"/>
        </w:rPr>
        <w:t>Record the volume of each aliquot.</w:t>
      </w:r>
    </w:p>
    <w:p w14:paraId="659A506B" w14:textId="77777777" w:rsidR="00913F59" w:rsidRPr="00FE1919" w:rsidRDefault="00913F59" w:rsidP="00913F59">
      <w:pPr>
        <w:pStyle w:val="ListParagraph"/>
        <w:ind w:left="990"/>
        <w:rPr>
          <w:rFonts w:cs="Arial"/>
          <w:szCs w:val="20"/>
        </w:rPr>
      </w:pPr>
    </w:p>
    <w:p w14:paraId="6C0C042B" w14:textId="77777777" w:rsidR="00913F59" w:rsidRPr="00FE1919" w:rsidRDefault="00913F59" w:rsidP="00913F59">
      <w:pPr>
        <w:pStyle w:val="Heading3"/>
        <w:numPr>
          <w:ilvl w:val="0"/>
          <w:numId w:val="8"/>
        </w:numPr>
        <w:spacing w:line="240" w:lineRule="auto"/>
        <w:ind w:left="720"/>
        <w:rPr>
          <w:caps/>
        </w:rPr>
      </w:pPr>
      <w:r w:rsidRPr="00FE1919">
        <w:rPr>
          <w:caps/>
        </w:rPr>
        <w:t>Local Processing (Plasma)</w:t>
      </w:r>
    </w:p>
    <w:p w14:paraId="2408C3A8" w14:textId="77777777" w:rsidR="00913F59" w:rsidRDefault="00913F59" w:rsidP="00913F59">
      <w:pPr>
        <w:pStyle w:val="ListParagraph"/>
        <w:numPr>
          <w:ilvl w:val="2"/>
          <w:numId w:val="3"/>
        </w:numPr>
        <w:rPr>
          <w:rFonts w:asciiTheme="minorHAnsi" w:hAnsiTheme="minorHAnsi" w:cs="Arial"/>
          <w:sz w:val="22"/>
          <w:szCs w:val="20"/>
        </w:rPr>
      </w:pPr>
      <w:r w:rsidRPr="00FE1919">
        <w:rPr>
          <w:rFonts w:asciiTheme="minorHAnsi" w:hAnsiTheme="minorHAnsi" w:cs="Arial"/>
          <w:sz w:val="22"/>
          <w:szCs w:val="20"/>
        </w:rPr>
        <w:t xml:space="preserve">Blood samples should be collected in vacutainers that contain </w:t>
      </w:r>
      <w:r>
        <w:rPr>
          <w:rFonts w:asciiTheme="minorHAnsi" w:hAnsiTheme="minorHAnsi" w:cs="Arial"/>
          <w:sz w:val="22"/>
          <w:szCs w:val="20"/>
        </w:rPr>
        <w:t>K</w:t>
      </w:r>
      <w:r w:rsidRPr="00FE1919">
        <w:rPr>
          <w:rFonts w:asciiTheme="minorHAnsi" w:hAnsiTheme="minorHAnsi" w:cs="Arial"/>
          <w:sz w:val="22"/>
          <w:szCs w:val="20"/>
          <w:vertAlign w:val="subscript"/>
        </w:rPr>
        <w:t>2</w:t>
      </w:r>
      <w:r w:rsidRPr="00FE1919">
        <w:rPr>
          <w:rFonts w:asciiTheme="minorHAnsi" w:hAnsiTheme="minorHAnsi" w:cs="Arial"/>
          <w:sz w:val="22"/>
          <w:szCs w:val="20"/>
        </w:rPr>
        <w:t xml:space="preserve">EDTA when preparing plasma. Previous research suggests that </w:t>
      </w:r>
      <w:r>
        <w:rPr>
          <w:rFonts w:asciiTheme="minorHAnsi" w:hAnsiTheme="minorHAnsi" w:cs="Arial"/>
          <w:sz w:val="22"/>
          <w:szCs w:val="20"/>
        </w:rPr>
        <w:t>K</w:t>
      </w:r>
      <w:r w:rsidRPr="00FE1919">
        <w:rPr>
          <w:rFonts w:asciiTheme="minorHAnsi" w:hAnsiTheme="minorHAnsi" w:cs="Arial"/>
          <w:sz w:val="22"/>
          <w:szCs w:val="20"/>
          <w:vertAlign w:val="subscript"/>
        </w:rPr>
        <w:t>2</w:t>
      </w:r>
      <w:r w:rsidRPr="00FE1919">
        <w:rPr>
          <w:rFonts w:asciiTheme="minorHAnsi" w:hAnsiTheme="minorHAnsi" w:cs="Arial"/>
          <w:sz w:val="22"/>
          <w:szCs w:val="20"/>
        </w:rPr>
        <w:t>EDTA is the preferred anticoagulant since other may interfere with analyte detection (</w:t>
      </w:r>
      <w:r w:rsidRPr="00FE1919">
        <w:rPr>
          <w:rFonts w:asciiTheme="minorHAnsi" w:hAnsiTheme="minorHAnsi"/>
          <w:sz w:val="22"/>
          <w:szCs w:val="20"/>
        </w:rPr>
        <w:t>Vanderstichele, 2000).</w:t>
      </w:r>
      <w:r w:rsidRPr="00FE1919">
        <w:rPr>
          <w:rFonts w:asciiTheme="minorHAnsi" w:hAnsiTheme="minorHAnsi" w:cs="Arial"/>
          <w:sz w:val="22"/>
          <w:szCs w:val="20"/>
        </w:rPr>
        <w:t xml:space="preserve"> </w:t>
      </w:r>
    </w:p>
    <w:p w14:paraId="7F46DC5E" w14:textId="77777777" w:rsidR="00913F59" w:rsidRPr="00FE1919" w:rsidRDefault="00913F59" w:rsidP="00913F59">
      <w:pPr>
        <w:pStyle w:val="ListParagraph"/>
        <w:numPr>
          <w:ilvl w:val="2"/>
          <w:numId w:val="3"/>
        </w:numPr>
        <w:rPr>
          <w:rFonts w:asciiTheme="minorHAnsi" w:hAnsiTheme="minorHAnsi" w:cs="Arial"/>
          <w:sz w:val="22"/>
          <w:szCs w:val="20"/>
        </w:rPr>
      </w:pPr>
      <w:r w:rsidRPr="00FE1919">
        <w:rPr>
          <w:rFonts w:asciiTheme="minorHAnsi" w:hAnsiTheme="minorHAnsi" w:cs="Arial"/>
          <w:sz w:val="22"/>
          <w:szCs w:val="20"/>
        </w:rPr>
        <w:t>The distinction between K</w:t>
      </w:r>
      <w:r w:rsidRPr="00FE1919">
        <w:rPr>
          <w:rFonts w:asciiTheme="minorHAnsi" w:hAnsiTheme="minorHAnsi" w:cs="Arial"/>
          <w:sz w:val="22"/>
          <w:szCs w:val="20"/>
          <w:vertAlign w:val="subscript"/>
        </w:rPr>
        <w:t>2</w:t>
      </w:r>
      <w:r w:rsidRPr="00FE1919">
        <w:rPr>
          <w:rFonts w:asciiTheme="minorHAnsi" w:hAnsiTheme="minorHAnsi" w:cs="Arial"/>
          <w:sz w:val="22"/>
          <w:szCs w:val="20"/>
        </w:rPr>
        <w:t>EDTA and K</w:t>
      </w:r>
      <w:r w:rsidRPr="00FE1919">
        <w:rPr>
          <w:rFonts w:asciiTheme="minorHAnsi" w:hAnsiTheme="minorHAnsi" w:cs="Arial"/>
          <w:sz w:val="22"/>
          <w:szCs w:val="20"/>
          <w:vertAlign w:val="subscript"/>
        </w:rPr>
        <w:t>3</w:t>
      </w:r>
      <w:r w:rsidRPr="00FE1919">
        <w:rPr>
          <w:rFonts w:asciiTheme="minorHAnsi" w:hAnsiTheme="minorHAnsi" w:cs="Arial"/>
          <w:sz w:val="22"/>
          <w:szCs w:val="20"/>
        </w:rPr>
        <w:t>EDTA and their concentrations should be assessed. See Reference Article for more details (Goossens, et al, 1991).</w:t>
      </w:r>
    </w:p>
    <w:p w14:paraId="5C810845" w14:textId="77777777" w:rsidR="00913F59" w:rsidRPr="00FE1919" w:rsidRDefault="00913F59" w:rsidP="00913F59">
      <w:pPr>
        <w:pStyle w:val="ListParagraph"/>
        <w:numPr>
          <w:ilvl w:val="2"/>
          <w:numId w:val="3"/>
        </w:numPr>
        <w:rPr>
          <w:rFonts w:asciiTheme="minorHAnsi" w:hAnsiTheme="minorHAnsi"/>
          <w:sz w:val="22"/>
          <w:szCs w:val="22"/>
        </w:rPr>
      </w:pPr>
      <w:r w:rsidRPr="00FE1919">
        <w:rPr>
          <w:rFonts w:asciiTheme="minorHAnsi" w:hAnsiTheme="minorHAnsi"/>
          <w:sz w:val="22"/>
          <w:szCs w:val="22"/>
        </w:rPr>
        <w:t>Transport the original, unfrozen blood sample</w:t>
      </w:r>
      <w:r>
        <w:rPr>
          <w:rFonts w:asciiTheme="minorHAnsi" w:hAnsiTheme="minorHAnsi"/>
          <w:sz w:val="22"/>
          <w:szCs w:val="22"/>
        </w:rPr>
        <w:t xml:space="preserve"> on ice</w:t>
      </w:r>
      <w:r w:rsidRPr="00FE1919">
        <w:rPr>
          <w:rFonts w:asciiTheme="minorHAnsi" w:hAnsiTheme="minorHAnsi"/>
          <w:sz w:val="22"/>
          <w:szCs w:val="22"/>
        </w:rPr>
        <w:t xml:space="preserve"> to the designated local proteomics lab as soon as possible. Freezing has significant adverse effects on plasma and its proteomic elements.</w:t>
      </w:r>
    </w:p>
    <w:p w14:paraId="5D271E4C" w14:textId="77777777" w:rsidR="00913F59" w:rsidRPr="00FE1919" w:rsidRDefault="00913F59" w:rsidP="00913F59">
      <w:pPr>
        <w:pStyle w:val="ListParagraph"/>
        <w:numPr>
          <w:ilvl w:val="2"/>
          <w:numId w:val="3"/>
        </w:numPr>
        <w:rPr>
          <w:rFonts w:asciiTheme="minorHAnsi" w:hAnsiTheme="minorHAnsi" w:cs="Arial"/>
          <w:sz w:val="22"/>
          <w:szCs w:val="20"/>
        </w:rPr>
      </w:pPr>
      <w:r w:rsidRPr="00FE1919">
        <w:rPr>
          <w:rFonts w:asciiTheme="minorHAnsi" w:hAnsiTheme="minorHAnsi"/>
          <w:sz w:val="22"/>
          <w:szCs w:val="20"/>
        </w:rPr>
        <w:t>Label cryovials before processing sample.</w:t>
      </w:r>
    </w:p>
    <w:p w14:paraId="40C244A4" w14:textId="77777777" w:rsidR="00913F59" w:rsidRPr="001A7BD9" w:rsidRDefault="00913F59" w:rsidP="00913F59">
      <w:pPr>
        <w:pStyle w:val="ListParagraph"/>
        <w:numPr>
          <w:ilvl w:val="2"/>
          <w:numId w:val="3"/>
        </w:numPr>
        <w:rPr>
          <w:rFonts w:asciiTheme="minorHAnsi" w:hAnsiTheme="minorHAnsi" w:cs="Arial"/>
          <w:sz w:val="22"/>
          <w:szCs w:val="20"/>
        </w:rPr>
      </w:pPr>
      <w:r w:rsidRPr="001A7BD9">
        <w:rPr>
          <w:rStyle w:val="CommentReference"/>
          <w:rFonts w:asciiTheme="minorHAnsi" w:hAnsiTheme="minorHAnsi"/>
          <w:sz w:val="22"/>
          <w:szCs w:val="20"/>
        </w:rPr>
        <w:t>Centrifuge at 1</w:t>
      </w:r>
      <w:r>
        <w:rPr>
          <w:rStyle w:val="CommentReference"/>
          <w:rFonts w:asciiTheme="minorHAnsi" w:hAnsiTheme="minorHAnsi"/>
          <w:sz w:val="22"/>
          <w:szCs w:val="20"/>
        </w:rPr>
        <w:t>1</w:t>
      </w:r>
      <w:r w:rsidRPr="001A7BD9">
        <w:rPr>
          <w:rStyle w:val="CommentReference"/>
          <w:rFonts w:asciiTheme="minorHAnsi" w:hAnsiTheme="minorHAnsi"/>
          <w:sz w:val="22"/>
          <w:szCs w:val="20"/>
        </w:rPr>
        <w:t>00</w:t>
      </w:r>
      <w:r>
        <w:rPr>
          <w:rStyle w:val="CommentReference"/>
          <w:rFonts w:asciiTheme="minorHAnsi" w:hAnsiTheme="minorHAnsi"/>
          <w:sz w:val="22"/>
          <w:szCs w:val="20"/>
        </w:rPr>
        <w:t xml:space="preserve"> - 1500</w:t>
      </w:r>
      <w:r w:rsidRPr="001A7BD9">
        <w:rPr>
          <w:rFonts w:asciiTheme="minorHAnsi" w:hAnsiTheme="minorHAnsi"/>
          <w:sz w:val="22"/>
          <w:szCs w:val="20"/>
        </w:rPr>
        <w:t xml:space="preserve"> rcf (xg) at room temperature for 10</w:t>
      </w:r>
      <w:r>
        <w:rPr>
          <w:rFonts w:asciiTheme="minorHAnsi" w:hAnsiTheme="minorHAnsi"/>
          <w:sz w:val="22"/>
          <w:szCs w:val="20"/>
        </w:rPr>
        <w:t>-20</w:t>
      </w:r>
      <w:r w:rsidRPr="001A7BD9">
        <w:rPr>
          <w:rFonts w:asciiTheme="minorHAnsi" w:hAnsiTheme="minorHAnsi"/>
          <w:sz w:val="22"/>
          <w:szCs w:val="20"/>
        </w:rPr>
        <w:t xml:space="preserve"> minutes</w:t>
      </w:r>
      <w:r>
        <w:t>http://www.bd.com/vacutainer/pdfs/VDP40161.pdf)</w:t>
      </w:r>
      <w:r w:rsidRPr="00C47761">
        <w:rPr>
          <w:rFonts w:asciiTheme="minorHAnsi" w:hAnsiTheme="minorHAnsi"/>
          <w:sz w:val="22"/>
          <w:szCs w:val="20"/>
        </w:rPr>
        <w:t>. Transfer plasma to cryovials and  store in 5</w:t>
      </w:r>
      <w:r w:rsidRPr="001A7BD9">
        <w:rPr>
          <w:rFonts w:asciiTheme="minorHAnsi" w:hAnsiTheme="minorHAnsi" w:cs="Arial"/>
          <w:sz w:val="22"/>
          <w:szCs w:val="20"/>
        </w:rPr>
        <w:t>00ul aliquots.</w:t>
      </w:r>
    </w:p>
    <w:p w14:paraId="77D02B28" w14:textId="77777777" w:rsidR="00913F59" w:rsidRPr="001A7BD9" w:rsidRDefault="00913F59" w:rsidP="00913F59">
      <w:pPr>
        <w:pStyle w:val="ListParagraph"/>
        <w:numPr>
          <w:ilvl w:val="2"/>
          <w:numId w:val="3"/>
        </w:numPr>
        <w:rPr>
          <w:rFonts w:asciiTheme="minorHAnsi" w:hAnsiTheme="minorHAnsi" w:cs="Arial"/>
          <w:sz w:val="22"/>
          <w:szCs w:val="20"/>
        </w:rPr>
      </w:pPr>
      <w:r w:rsidRPr="001A7BD9">
        <w:rPr>
          <w:rFonts w:asciiTheme="minorHAnsi" w:hAnsiTheme="minorHAnsi"/>
          <w:sz w:val="22"/>
          <w:szCs w:val="20"/>
        </w:rPr>
        <w:t>Record the volume of each aliquot.</w:t>
      </w:r>
      <w:r w:rsidRPr="001A7BD9">
        <w:rPr>
          <w:rFonts w:asciiTheme="minorHAnsi" w:hAnsiTheme="minorHAnsi" w:cs="Arial"/>
          <w:sz w:val="22"/>
          <w:szCs w:val="20"/>
        </w:rPr>
        <w:t xml:space="preserve"> </w:t>
      </w:r>
    </w:p>
    <w:p w14:paraId="081486BC" w14:textId="77777777" w:rsidR="00913F59" w:rsidRPr="00FE1919" w:rsidRDefault="00913F59" w:rsidP="00913F59">
      <w:pPr>
        <w:pStyle w:val="ListParagraph"/>
        <w:ind w:left="990"/>
        <w:rPr>
          <w:rFonts w:cs="Arial"/>
          <w:szCs w:val="20"/>
        </w:rPr>
      </w:pPr>
    </w:p>
    <w:p w14:paraId="16818EAD" w14:textId="77777777" w:rsidR="00913F59" w:rsidRPr="001A7BD9" w:rsidRDefault="00913F59" w:rsidP="00913F59">
      <w:pPr>
        <w:pStyle w:val="Heading3"/>
        <w:numPr>
          <w:ilvl w:val="0"/>
          <w:numId w:val="8"/>
        </w:numPr>
        <w:spacing w:line="240" w:lineRule="auto"/>
        <w:ind w:left="720"/>
        <w:rPr>
          <w:caps/>
        </w:rPr>
      </w:pPr>
      <w:r w:rsidRPr="001A7BD9">
        <w:rPr>
          <w:caps/>
        </w:rPr>
        <w:t>Local Documentation and Storage</w:t>
      </w:r>
    </w:p>
    <w:p w14:paraId="034B350E" w14:textId="77777777" w:rsidR="00913F59" w:rsidRPr="001A7BD9" w:rsidRDefault="00913F59" w:rsidP="00913F59">
      <w:pPr>
        <w:pStyle w:val="ListParagraph"/>
        <w:numPr>
          <w:ilvl w:val="2"/>
          <w:numId w:val="4"/>
        </w:numPr>
        <w:tabs>
          <w:tab w:val="clear" w:pos="2610"/>
        </w:tabs>
        <w:ind w:left="1170"/>
        <w:rPr>
          <w:rFonts w:asciiTheme="minorHAnsi" w:hAnsiTheme="minorHAnsi" w:cs="Arial"/>
          <w:sz w:val="22"/>
          <w:szCs w:val="22"/>
        </w:rPr>
      </w:pPr>
      <w:r w:rsidRPr="001A7BD9">
        <w:rPr>
          <w:rFonts w:asciiTheme="minorHAnsi" w:hAnsiTheme="minorHAnsi" w:cs="Arial"/>
          <w:sz w:val="22"/>
          <w:szCs w:val="22"/>
        </w:rPr>
        <w:t>Appropriate and complete documentation surrounding biospecimen collection, processing, and storage is essential and will influence the quality of research data.</w:t>
      </w:r>
    </w:p>
    <w:p w14:paraId="773F0205" w14:textId="77777777" w:rsidR="00913F59" w:rsidRPr="001A7BD9" w:rsidRDefault="00913F59" w:rsidP="00913F59">
      <w:pPr>
        <w:pStyle w:val="ListParagraph"/>
        <w:numPr>
          <w:ilvl w:val="2"/>
          <w:numId w:val="4"/>
        </w:numPr>
        <w:tabs>
          <w:tab w:val="clear" w:pos="2610"/>
        </w:tabs>
        <w:ind w:left="1170"/>
        <w:rPr>
          <w:rFonts w:asciiTheme="minorHAnsi" w:hAnsiTheme="minorHAnsi" w:cs="Arial"/>
          <w:sz w:val="22"/>
          <w:szCs w:val="22"/>
        </w:rPr>
      </w:pPr>
      <w:r w:rsidRPr="001A7BD9">
        <w:rPr>
          <w:rFonts w:asciiTheme="minorHAnsi" w:hAnsiTheme="minorHAnsi" w:cs="Arial"/>
          <w:sz w:val="22"/>
          <w:szCs w:val="22"/>
        </w:rPr>
        <w:t>Bar code identification of samples is necessary.</w:t>
      </w:r>
    </w:p>
    <w:p w14:paraId="473D72E7" w14:textId="77777777" w:rsidR="00913F59" w:rsidRPr="001A7BD9" w:rsidRDefault="00913F59" w:rsidP="00913F59">
      <w:pPr>
        <w:pStyle w:val="ListParagraph"/>
        <w:numPr>
          <w:ilvl w:val="2"/>
          <w:numId w:val="4"/>
        </w:numPr>
        <w:tabs>
          <w:tab w:val="clear" w:pos="2610"/>
        </w:tabs>
        <w:ind w:left="1170"/>
        <w:rPr>
          <w:rFonts w:asciiTheme="minorHAnsi" w:hAnsiTheme="minorHAnsi" w:cs="Arial"/>
          <w:sz w:val="22"/>
          <w:szCs w:val="22"/>
        </w:rPr>
      </w:pPr>
      <w:r w:rsidRPr="001A7BD9">
        <w:rPr>
          <w:rFonts w:asciiTheme="minorHAnsi" w:hAnsiTheme="minorHAnsi" w:cs="Arial"/>
          <w:sz w:val="22"/>
          <w:szCs w:val="22"/>
        </w:rPr>
        <w:t>Samples should be placed in non-frost free freezers at or below -80 ˚C. Frost-free freezers go through freeze-thaw cycles that further damage the specimen.</w:t>
      </w:r>
    </w:p>
    <w:p w14:paraId="1B6DE6DB" w14:textId="77777777" w:rsidR="00913F59" w:rsidRPr="001A7BD9" w:rsidRDefault="00913F59" w:rsidP="00913F59">
      <w:pPr>
        <w:pStyle w:val="ListParagraph"/>
        <w:numPr>
          <w:ilvl w:val="2"/>
          <w:numId w:val="4"/>
        </w:numPr>
        <w:tabs>
          <w:tab w:val="clear" w:pos="2610"/>
        </w:tabs>
        <w:ind w:left="1170"/>
        <w:rPr>
          <w:rFonts w:asciiTheme="minorHAnsi" w:hAnsiTheme="minorHAnsi" w:cs="Arial"/>
          <w:sz w:val="22"/>
          <w:szCs w:val="22"/>
        </w:rPr>
      </w:pPr>
      <w:r w:rsidRPr="001A7BD9">
        <w:rPr>
          <w:rFonts w:asciiTheme="minorHAnsi" w:hAnsiTheme="minorHAnsi" w:cs="Arial"/>
          <w:sz w:val="22"/>
          <w:szCs w:val="22"/>
        </w:rPr>
        <w:t>Sample storage centers should institute a back-up plan for freezer failure (e.g. dry ice or liquid nitrogen). An appropriate alarm system to support freezers for storage is essential.</w:t>
      </w:r>
    </w:p>
    <w:p w14:paraId="623E185A" w14:textId="77777777" w:rsidR="00913F59" w:rsidRPr="001A7BD9" w:rsidRDefault="00913F59" w:rsidP="00913F59">
      <w:pPr>
        <w:pStyle w:val="ListParagraph"/>
        <w:numPr>
          <w:ilvl w:val="2"/>
          <w:numId w:val="4"/>
        </w:numPr>
        <w:tabs>
          <w:tab w:val="clear" w:pos="2610"/>
        </w:tabs>
        <w:ind w:left="1170"/>
        <w:rPr>
          <w:rFonts w:asciiTheme="minorHAnsi" w:hAnsiTheme="minorHAnsi" w:cs="Arial"/>
          <w:sz w:val="22"/>
          <w:szCs w:val="22"/>
        </w:rPr>
      </w:pPr>
      <w:r w:rsidRPr="001A7BD9">
        <w:rPr>
          <w:rFonts w:asciiTheme="minorHAnsi" w:hAnsiTheme="minorHAnsi" w:cs="Arial"/>
          <w:sz w:val="22"/>
          <w:szCs w:val="22"/>
        </w:rPr>
        <w:t>An inventory system should be established for tracking provenance of samples, including the time of collection, processing, storage, and QC procedures carried out on each sample.</w:t>
      </w:r>
    </w:p>
    <w:p w14:paraId="033928C3" w14:textId="77777777" w:rsidR="00913F59" w:rsidRPr="00FE1919" w:rsidRDefault="00913F59" w:rsidP="00913F59">
      <w:pPr>
        <w:pStyle w:val="ListParagraph"/>
        <w:ind w:left="990"/>
        <w:rPr>
          <w:rFonts w:cs="Arial"/>
          <w:szCs w:val="20"/>
        </w:rPr>
      </w:pPr>
    </w:p>
    <w:p w14:paraId="42DD822D" w14:textId="77777777" w:rsidR="00913F59" w:rsidRPr="001A7BD9" w:rsidRDefault="00913F59" w:rsidP="00913F59">
      <w:pPr>
        <w:pStyle w:val="Heading3"/>
        <w:numPr>
          <w:ilvl w:val="0"/>
          <w:numId w:val="8"/>
        </w:numPr>
        <w:spacing w:line="240" w:lineRule="auto"/>
        <w:ind w:left="720"/>
        <w:rPr>
          <w:caps/>
        </w:rPr>
      </w:pPr>
      <w:r w:rsidRPr="001A7BD9">
        <w:rPr>
          <w:caps/>
        </w:rPr>
        <w:lastRenderedPageBreak/>
        <w:t>Shipping</w:t>
      </w:r>
    </w:p>
    <w:p w14:paraId="46D7E12D" w14:textId="77777777" w:rsidR="00913F59" w:rsidRPr="001A7BD9" w:rsidRDefault="00913F59" w:rsidP="00913F59">
      <w:pPr>
        <w:pStyle w:val="ListParagraph"/>
        <w:numPr>
          <w:ilvl w:val="2"/>
          <w:numId w:val="5"/>
        </w:numPr>
        <w:ind w:left="1170"/>
        <w:rPr>
          <w:rFonts w:asciiTheme="minorHAnsi" w:hAnsiTheme="minorHAnsi"/>
          <w:sz w:val="22"/>
          <w:szCs w:val="22"/>
        </w:rPr>
      </w:pPr>
      <w:r w:rsidRPr="001A7BD9">
        <w:rPr>
          <w:rFonts w:asciiTheme="minorHAnsi" w:hAnsiTheme="minorHAnsi" w:cs="Arial"/>
          <w:sz w:val="22"/>
          <w:szCs w:val="22"/>
        </w:rPr>
        <w:t xml:space="preserve">Dry ice pellets must accompany the frozen specimen during shipment. The transport time should be minimized given that </w:t>
      </w:r>
      <w:r w:rsidRPr="001A7BD9">
        <w:rPr>
          <w:rFonts w:asciiTheme="minorHAnsi" w:hAnsiTheme="minorHAnsi" w:cs="Arial"/>
          <w:b/>
          <w:sz w:val="22"/>
          <w:szCs w:val="22"/>
        </w:rPr>
        <w:t>dry ice sublimates at a rate of 5-10 lbs per 24 hours</w:t>
      </w:r>
      <w:r w:rsidRPr="001A7BD9">
        <w:rPr>
          <w:rFonts w:asciiTheme="minorHAnsi" w:hAnsiTheme="minorHAnsi" w:cs="Arial"/>
          <w:sz w:val="22"/>
          <w:szCs w:val="22"/>
        </w:rPr>
        <w:t>, depending on the insulation of the shipment container.</w:t>
      </w:r>
    </w:p>
    <w:p w14:paraId="62E64A3F" w14:textId="77777777" w:rsidR="00913F59" w:rsidRPr="003E4A67" w:rsidRDefault="00913F59" w:rsidP="00913F59">
      <w:pPr>
        <w:pStyle w:val="ListParagraph"/>
        <w:numPr>
          <w:ilvl w:val="2"/>
          <w:numId w:val="5"/>
        </w:numPr>
        <w:ind w:left="1170"/>
        <w:rPr>
          <w:rFonts w:asciiTheme="minorHAnsi" w:hAnsiTheme="minorHAnsi"/>
          <w:sz w:val="22"/>
          <w:szCs w:val="22"/>
        </w:rPr>
      </w:pPr>
      <w:r w:rsidRPr="001A7BD9">
        <w:rPr>
          <w:rFonts w:asciiTheme="minorHAnsi" w:hAnsiTheme="minorHAnsi" w:cs="Arial"/>
          <w:sz w:val="22"/>
          <w:szCs w:val="22"/>
        </w:rPr>
        <w:t xml:space="preserve">Consult the local agency for proper shipping options and certified transport materials. The International Air Transportantion Association </w:t>
      </w:r>
      <w:r>
        <w:rPr>
          <w:rFonts w:asciiTheme="minorHAnsi" w:hAnsiTheme="minorHAnsi" w:cs="Arial"/>
          <w:sz w:val="22"/>
          <w:szCs w:val="22"/>
        </w:rPr>
        <w:t>website (</w:t>
      </w:r>
      <w:hyperlink r:id="rId7" w:history="1">
        <w:r w:rsidRPr="004A5CB2">
          <w:rPr>
            <w:rStyle w:val="Hyperlink"/>
            <w:rFonts w:asciiTheme="minorHAnsi" w:hAnsiTheme="minorHAnsi"/>
            <w:sz w:val="22"/>
            <w:szCs w:val="22"/>
          </w:rPr>
          <w:t>http://www.iata.org/Pages/default.aspx</w:t>
        </w:r>
      </w:hyperlink>
      <w:r>
        <w:rPr>
          <w:rFonts w:asciiTheme="minorHAnsi" w:hAnsiTheme="minorHAnsi"/>
          <w:sz w:val="22"/>
          <w:szCs w:val="22"/>
        </w:rPr>
        <w:t>)</w:t>
      </w:r>
      <w:r>
        <w:rPr>
          <w:rFonts w:asciiTheme="minorHAnsi" w:hAnsiTheme="minorHAnsi" w:cs="Arial"/>
          <w:sz w:val="22"/>
          <w:szCs w:val="22"/>
        </w:rPr>
        <w:t xml:space="preserve"> </w:t>
      </w:r>
      <w:r w:rsidRPr="001A7BD9">
        <w:rPr>
          <w:rFonts w:asciiTheme="minorHAnsi" w:hAnsiTheme="minorHAnsi" w:cs="Arial"/>
          <w:sz w:val="22"/>
          <w:szCs w:val="22"/>
        </w:rPr>
        <w:t xml:space="preserve">and the U.S. Department of Transportation </w:t>
      </w:r>
      <w:r>
        <w:rPr>
          <w:rFonts w:asciiTheme="minorHAnsi" w:hAnsiTheme="minorHAnsi" w:cs="Arial"/>
          <w:sz w:val="22"/>
          <w:szCs w:val="22"/>
        </w:rPr>
        <w:t xml:space="preserve">website </w:t>
      </w:r>
      <w:r w:rsidRPr="001A7BD9">
        <w:rPr>
          <w:rFonts w:asciiTheme="minorHAnsi" w:hAnsiTheme="minorHAnsi" w:cs="Arial"/>
          <w:sz w:val="22"/>
          <w:szCs w:val="22"/>
        </w:rPr>
        <w:t>(</w:t>
      </w:r>
      <w:hyperlink r:id="rId8" w:history="1">
        <w:r w:rsidRPr="004A5CB2">
          <w:rPr>
            <w:rStyle w:val="Hyperlink"/>
            <w:rFonts w:asciiTheme="minorHAnsi" w:hAnsiTheme="minorHAnsi"/>
            <w:sz w:val="22"/>
            <w:szCs w:val="22"/>
          </w:rPr>
          <w:t>https://www.transportation.gov/</w:t>
        </w:r>
      </w:hyperlink>
      <w:r w:rsidRPr="001A7BD9">
        <w:rPr>
          <w:rFonts w:asciiTheme="minorHAnsi" w:hAnsiTheme="minorHAnsi" w:cs="Arial"/>
          <w:sz w:val="22"/>
          <w:szCs w:val="22"/>
        </w:rPr>
        <w:t>) have legal requirements governing the packaging, labeling, and shipping of biospecimen.</w:t>
      </w:r>
    </w:p>
    <w:p w14:paraId="37BB36FE" w14:textId="77777777" w:rsidR="00913F59" w:rsidRPr="001A7BD9" w:rsidRDefault="00913F59" w:rsidP="00913F59">
      <w:pPr>
        <w:pStyle w:val="ListParagraph"/>
        <w:numPr>
          <w:ilvl w:val="4"/>
          <w:numId w:val="5"/>
        </w:numPr>
        <w:tabs>
          <w:tab w:val="left" w:pos="360"/>
        </w:tabs>
        <w:ind w:left="1800"/>
        <w:rPr>
          <w:rFonts w:asciiTheme="minorHAnsi" w:hAnsiTheme="minorHAnsi"/>
          <w:sz w:val="22"/>
          <w:szCs w:val="22"/>
        </w:rPr>
      </w:pPr>
      <w:r w:rsidRPr="001A7BD9">
        <w:rPr>
          <w:rFonts w:asciiTheme="minorHAnsi" w:hAnsiTheme="minorHAnsi" w:cs="Arial"/>
          <w:sz w:val="22"/>
          <w:szCs w:val="22"/>
        </w:rPr>
        <w:t>Category B Infectious Substances (also “diagnostic specimens” or “clinical specimens” could be infectious but do not meet the standard for Category A inclusion.</w:t>
      </w:r>
    </w:p>
    <w:p w14:paraId="24397B87" w14:textId="77777777" w:rsidR="00913F59" w:rsidRPr="001A7BD9" w:rsidRDefault="00913F59" w:rsidP="00913F59">
      <w:pPr>
        <w:pStyle w:val="ListParagraph"/>
        <w:numPr>
          <w:ilvl w:val="4"/>
          <w:numId w:val="5"/>
        </w:numPr>
        <w:tabs>
          <w:tab w:val="left" w:pos="360"/>
        </w:tabs>
        <w:ind w:left="1800"/>
      </w:pPr>
      <w:r w:rsidRPr="001A7BD9">
        <w:rPr>
          <w:rFonts w:asciiTheme="minorHAnsi" w:hAnsiTheme="minorHAnsi" w:cs="Arial"/>
          <w:sz w:val="22"/>
          <w:szCs w:val="22"/>
        </w:rPr>
        <w:t>Exempt Patient Specimens have a minimal likelihood of containing pathogens.</w:t>
      </w:r>
    </w:p>
    <w:p w14:paraId="4C44A7EF" w14:textId="77777777" w:rsidR="00913F59" w:rsidRPr="001A7BD9" w:rsidRDefault="00913F59" w:rsidP="00913F59">
      <w:pPr>
        <w:pStyle w:val="ListParagraph"/>
        <w:numPr>
          <w:ilvl w:val="2"/>
          <w:numId w:val="5"/>
        </w:numPr>
        <w:ind w:left="1170"/>
        <w:rPr>
          <w:rFonts w:asciiTheme="minorHAnsi" w:hAnsiTheme="minorHAnsi"/>
          <w:sz w:val="22"/>
          <w:szCs w:val="22"/>
        </w:rPr>
      </w:pPr>
      <w:r w:rsidRPr="001A7BD9">
        <w:rPr>
          <w:rFonts w:asciiTheme="minorHAnsi" w:hAnsiTheme="minorHAnsi"/>
          <w:sz w:val="22"/>
          <w:szCs w:val="22"/>
        </w:rPr>
        <w:t>Temperature loggers can be used to monitor temperature in shipments of samples to provide confirmation and assurance that samples have been maintained at appropriate temperatures.</w:t>
      </w:r>
    </w:p>
    <w:p w14:paraId="00EB5704" w14:textId="77777777" w:rsidR="00913F59" w:rsidRDefault="00913F59" w:rsidP="00913F59">
      <w:pPr>
        <w:pStyle w:val="ListParagraph"/>
        <w:ind w:left="990"/>
      </w:pPr>
    </w:p>
    <w:p w14:paraId="5F75EA1A" w14:textId="77777777" w:rsidR="00913F59" w:rsidRPr="001A7BD9" w:rsidRDefault="00913F59" w:rsidP="00913F59">
      <w:pPr>
        <w:pStyle w:val="Heading3"/>
        <w:numPr>
          <w:ilvl w:val="0"/>
          <w:numId w:val="8"/>
        </w:numPr>
        <w:spacing w:line="240" w:lineRule="auto"/>
        <w:ind w:left="720"/>
        <w:rPr>
          <w:caps/>
        </w:rPr>
      </w:pPr>
      <w:r w:rsidRPr="001A7BD9">
        <w:rPr>
          <w:caps/>
        </w:rPr>
        <w:t>Central Storage</w:t>
      </w:r>
    </w:p>
    <w:p w14:paraId="49A2C362" w14:textId="77777777" w:rsidR="00913F59" w:rsidRPr="001A7BD9" w:rsidRDefault="00913F59" w:rsidP="00913F59">
      <w:pPr>
        <w:pStyle w:val="ListParagraph"/>
        <w:numPr>
          <w:ilvl w:val="6"/>
          <w:numId w:val="5"/>
        </w:numPr>
        <w:tabs>
          <w:tab w:val="left" w:pos="810"/>
        </w:tabs>
        <w:ind w:left="1170"/>
        <w:rPr>
          <w:rFonts w:asciiTheme="minorHAnsi" w:hAnsiTheme="minorHAnsi"/>
          <w:sz w:val="22"/>
        </w:rPr>
      </w:pPr>
      <w:r w:rsidRPr="001A7BD9">
        <w:rPr>
          <w:rFonts w:asciiTheme="minorHAnsi" w:hAnsiTheme="minorHAnsi" w:cs="Arial"/>
          <w:sz w:val="22"/>
          <w:szCs w:val="20"/>
        </w:rPr>
        <w:t>Appropriate and complete documentation surrounding biospecimen collection, processing, storage, and shipping from the individual sites is essential and will influence the quality of the multicenter research data to be obtained.</w:t>
      </w:r>
    </w:p>
    <w:p w14:paraId="042E670A" w14:textId="77777777" w:rsidR="00913F59" w:rsidRPr="001A7BD9" w:rsidRDefault="00913F59" w:rsidP="00913F59">
      <w:pPr>
        <w:pStyle w:val="ListParagraph"/>
        <w:numPr>
          <w:ilvl w:val="6"/>
          <w:numId w:val="5"/>
        </w:numPr>
        <w:ind w:left="1170"/>
        <w:rPr>
          <w:rFonts w:asciiTheme="minorHAnsi" w:hAnsiTheme="minorHAnsi"/>
          <w:sz w:val="22"/>
        </w:rPr>
      </w:pPr>
      <w:r w:rsidRPr="001A7BD9">
        <w:rPr>
          <w:rFonts w:asciiTheme="minorHAnsi" w:hAnsiTheme="minorHAnsi" w:cs="Arial"/>
          <w:sz w:val="22"/>
          <w:szCs w:val="20"/>
        </w:rPr>
        <w:t>Bar code identification of samples is necessary.</w:t>
      </w:r>
    </w:p>
    <w:p w14:paraId="03339559" w14:textId="77777777" w:rsidR="00913F59" w:rsidRPr="001A7BD9" w:rsidRDefault="00913F59" w:rsidP="00913F59">
      <w:pPr>
        <w:pStyle w:val="ListParagraph"/>
        <w:numPr>
          <w:ilvl w:val="6"/>
          <w:numId w:val="5"/>
        </w:numPr>
        <w:ind w:left="1170"/>
        <w:rPr>
          <w:rFonts w:asciiTheme="minorHAnsi" w:hAnsiTheme="minorHAnsi"/>
          <w:sz w:val="22"/>
        </w:rPr>
      </w:pPr>
      <w:r w:rsidRPr="001A7BD9">
        <w:rPr>
          <w:rFonts w:asciiTheme="minorHAnsi" w:hAnsiTheme="minorHAnsi" w:cs="Arial"/>
          <w:sz w:val="22"/>
          <w:szCs w:val="20"/>
        </w:rPr>
        <w:t>A formal plan for sharing the central biospecimen resource is recommended.</w:t>
      </w:r>
    </w:p>
    <w:p w14:paraId="6CF518F9" w14:textId="77777777" w:rsidR="00913F59" w:rsidRPr="001A7BD9" w:rsidRDefault="00913F59" w:rsidP="00913F59">
      <w:pPr>
        <w:pStyle w:val="ListParagraph"/>
        <w:numPr>
          <w:ilvl w:val="2"/>
          <w:numId w:val="5"/>
        </w:numPr>
        <w:ind w:left="1170"/>
        <w:rPr>
          <w:rFonts w:asciiTheme="minorHAnsi" w:hAnsiTheme="minorHAnsi"/>
          <w:sz w:val="22"/>
        </w:rPr>
      </w:pPr>
      <w:r w:rsidRPr="001A7BD9">
        <w:rPr>
          <w:rFonts w:asciiTheme="minorHAnsi" w:hAnsiTheme="minorHAnsi" w:cs="Arial"/>
          <w:sz w:val="22"/>
          <w:szCs w:val="20"/>
        </w:rPr>
        <w:t>The Central Bank should maintain information of laboratories where the samples have been sent to avoid duplicative genotyping and inadvertent repetitive reporting of data from the same patient.</w:t>
      </w:r>
    </w:p>
    <w:p w14:paraId="11CBF7A8" w14:textId="77777777" w:rsidR="00913F59" w:rsidRDefault="00913F59" w:rsidP="00913F59">
      <w:pPr>
        <w:pStyle w:val="ListParagraph"/>
        <w:numPr>
          <w:ilvl w:val="2"/>
          <w:numId w:val="5"/>
        </w:numPr>
        <w:ind w:left="1170"/>
        <w:rPr>
          <w:rFonts w:asciiTheme="minorHAnsi" w:hAnsiTheme="minorHAnsi" w:cs="Arial"/>
          <w:sz w:val="22"/>
          <w:szCs w:val="20"/>
        </w:rPr>
      </w:pPr>
      <w:r w:rsidRPr="001A7BD9">
        <w:rPr>
          <w:rFonts w:asciiTheme="minorHAnsi" w:hAnsiTheme="minorHAnsi" w:cs="Arial"/>
          <w:sz w:val="22"/>
          <w:szCs w:val="20"/>
        </w:rPr>
        <w:t>The Central Bank should also maintain information regarding any stipulations regarding informed consent for the use of the samples. For example, in some studies participants may provide permission for their samples to be used only for studies on TBI.</w:t>
      </w:r>
    </w:p>
    <w:p w14:paraId="58E8A180" w14:textId="77777777" w:rsidR="00913F59" w:rsidRPr="001A7BD9" w:rsidRDefault="00913F59" w:rsidP="00913F59">
      <w:pPr>
        <w:pStyle w:val="ListParagraph"/>
        <w:ind w:left="1170"/>
        <w:rPr>
          <w:rFonts w:asciiTheme="minorHAnsi" w:hAnsiTheme="minorHAnsi" w:cs="Arial"/>
          <w:sz w:val="22"/>
          <w:szCs w:val="20"/>
        </w:rPr>
      </w:pPr>
    </w:p>
    <w:p w14:paraId="6F88918D" w14:textId="77777777" w:rsidR="00913F59" w:rsidRPr="001A7BD9" w:rsidRDefault="00913F59" w:rsidP="00913F59">
      <w:pPr>
        <w:pStyle w:val="Heading3"/>
        <w:numPr>
          <w:ilvl w:val="0"/>
          <w:numId w:val="8"/>
        </w:numPr>
        <w:spacing w:line="240" w:lineRule="auto"/>
        <w:ind w:left="720"/>
        <w:rPr>
          <w:caps/>
        </w:rPr>
      </w:pPr>
      <w:r w:rsidRPr="001A7BD9">
        <w:rPr>
          <w:caps/>
        </w:rPr>
        <w:t>References</w:t>
      </w:r>
    </w:p>
    <w:p w14:paraId="6544B732" w14:textId="77777777" w:rsidR="00913F59" w:rsidRPr="00FE1919" w:rsidRDefault="00913F59" w:rsidP="00913F59"/>
    <w:p w14:paraId="1834E570" w14:textId="77777777" w:rsidR="00913F59" w:rsidRPr="001A7BD9" w:rsidRDefault="00913F59" w:rsidP="00913F59">
      <w:pPr>
        <w:tabs>
          <w:tab w:val="num" w:pos="810"/>
        </w:tabs>
        <w:ind w:left="810"/>
        <w:rPr>
          <w:rFonts w:asciiTheme="minorHAnsi" w:hAnsiTheme="minorHAnsi" w:cs="Arial"/>
          <w:sz w:val="22"/>
          <w:szCs w:val="20"/>
        </w:rPr>
      </w:pPr>
      <w:r w:rsidRPr="001A7BD9">
        <w:rPr>
          <w:rFonts w:asciiTheme="minorHAnsi" w:hAnsiTheme="minorHAnsi" w:cs="Arial"/>
          <w:sz w:val="22"/>
          <w:szCs w:val="20"/>
        </w:rPr>
        <w:t>Goossens W, Van Duppen V, Verwilghen RL (1991) K2- or K3-EDTA: the anticoagulant of choice in routine haematology? Clin Lab Haematol 13:291-5.</w:t>
      </w:r>
    </w:p>
    <w:p w14:paraId="4052BF39" w14:textId="77777777" w:rsidR="00913F59" w:rsidRPr="001A7BD9" w:rsidRDefault="00913F59" w:rsidP="00913F59">
      <w:pPr>
        <w:tabs>
          <w:tab w:val="num" w:pos="810"/>
        </w:tabs>
        <w:ind w:left="720"/>
        <w:rPr>
          <w:rFonts w:asciiTheme="minorHAnsi" w:hAnsiTheme="minorHAnsi" w:cs="Arial"/>
          <w:sz w:val="22"/>
          <w:szCs w:val="20"/>
        </w:rPr>
      </w:pPr>
    </w:p>
    <w:p w14:paraId="417EB6C3" w14:textId="77777777" w:rsidR="00913F59" w:rsidRPr="001A7BD9" w:rsidRDefault="00913F59" w:rsidP="00913F59">
      <w:pPr>
        <w:ind w:left="810"/>
        <w:rPr>
          <w:rFonts w:asciiTheme="minorHAnsi" w:hAnsiTheme="minorHAnsi" w:cs="Arial"/>
          <w:sz w:val="22"/>
          <w:szCs w:val="20"/>
        </w:rPr>
      </w:pPr>
      <w:r w:rsidRPr="001A7BD9">
        <w:rPr>
          <w:rFonts w:asciiTheme="minorHAnsi" w:hAnsiTheme="minorHAnsi" w:cs="Arial"/>
          <w:sz w:val="22"/>
          <w:szCs w:val="20"/>
        </w:rPr>
        <w:t>Vanderstichele H, Van Kerschaver E, Hesse C, Davidsson P, Buyse MA, Andreasen N, Minthon L, Wallin A, Blennow K, Vanmechelen E. (2007) Standardization of measurement of beta-amyloid(1-42) in cerebrospinal fluid and plasma. Amyloid. 7:245-58.</w:t>
      </w:r>
    </w:p>
    <w:p w14:paraId="35363480" w14:textId="77777777" w:rsidR="00913F59" w:rsidRPr="001A7BD9" w:rsidRDefault="00913F59" w:rsidP="00913F59">
      <w:pPr>
        <w:tabs>
          <w:tab w:val="num" w:pos="810"/>
        </w:tabs>
        <w:rPr>
          <w:rFonts w:asciiTheme="minorHAnsi" w:hAnsiTheme="minorHAnsi" w:cs="Arial"/>
          <w:sz w:val="22"/>
          <w:szCs w:val="20"/>
        </w:rPr>
      </w:pPr>
    </w:p>
    <w:p w14:paraId="7B88EE49" w14:textId="77777777" w:rsidR="00913F59" w:rsidRDefault="00913F59" w:rsidP="00913F59">
      <w:pPr>
        <w:rPr>
          <w:b/>
          <w:u w:val="single"/>
        </w:rPr>
        <w:sectPr w:rsidR="00913F59" w:rsidSect="00B05C30">
          <w:headerReference w:type="default" r:id="rId9"/>
          <w:footerReference w:type="default" r:id="rId10"/>
          <w:pgSz w:w="12240" w:h="15840"/>
          <w:pgMar w:top="1440" w:right="1440" w:bottom="1440" w:left="1440" w:header="720" w:footer="720" w:gutter="0"/>
          <w:cols w:space="720"/>
          <w:docGrid w:linePitch="360"/>
        </w:sectPr>
      </w:pPr>
    </w:p>
    <w:p w14:paraId="4F2A53EA" w14:textId="77777777" w:rsidR="00913F59" w:rsidRDefault="00913F59" w:rsidP="00913F59">
      <w:pPr>
        <w:pStyle w:val="Heading2"/>
        <w:spacing w:line="240" w:lineRule="auto"/>
        <w:rPr>
          <w:rFonts w:asciiTheme="minorHAnsi" w:hAnsiTheme="minorHAnsi"/>
          <w:b w:val="0"/>
          <w:sz w:val="24"/>
        </w:rPr>
      </w:pPr>
      <w:r w:rsidRPr="001A7BD9">
        <w:rPr>
          <w:rFonts w:asciiTheme="minorHAnsi" w:hAnsiTheme="minorHAnsi"/>
          <w:b w:val="0"/>
          <w:sz w:val="24"/>
        </w:rPr>
        <w:lastRenderedPageBreak/>
        <w:t>Collection, Processing</w:t>
      </w:r>
      <w:r>
        <w:rPr>
          <w:rFonts w:asciiTheme="minorHAnsi" w:hAnsiTheme="minorHAnsi"/>
          <w:b w:val="0"/>
          <w:sz w:val="24"/>
        </w:rPr>
        <w:t xml:space="preserve">, </w:t>
      </w:r>
      <w:r w:rsidRPr="001A7BD9">
        <w:rPr>
          <w:rFonts w:asciiTheme="minorHAnsi" w:hAnsiTheme="minorHAnsi"/>
          <w:b w:val="0"/>
          <w:sz w:val="24"/>
        </w:rPr>
        <w:t>Storage</w:t>
      </w:r>
      <w:r>
        <w:rPr>
          <w:rFonts w:asciiTheme="minorHAnsi" w:hAnsiTheme="minorHAnsi"/>
          <w:b w:val="0"/>
          <w:sz w:val="24"/>
        </w:rPr>
        <w:t>, and Shipment</w:t>
      </w:r>
      <w:r w:rsidRPr="001A7BD9">
        <w:rPr>
          <w:rFonts w:asciiTheme="minorHAnsi" w:hAnsiTheme="minorHAnsi"/>
          <w:b w:val="0"/>
          <w:sz w:val="24"/>
        </w:rPr>
        <w:t xml:space="preserve"> from Pediatric Participants/Subjects:</w:t>
      </w:r>
    </w:p>
    <w:p w14:paraId="25E21957" w14:textId="77777777" w:rsidR="00913F59" w:rsidRPr="001A7BD9" w:rsidRDefault="00913F59" w:rsidP="00913F59">
      <w:pPr>
        <w:rPr>
          <w:b/>
        </w:rPr>
      </w:pPr>
    </w:p>
    <w:p w14:paraId="6DF2F692" w14:textId="77777777" w:rsidR="00913F59" w:rsidRPr="00FE1919" w:rsidRDefault="00913F59" w:rsidP="00913F59"/>
    <w:p w14:paraId="1CEA2252" w14:textId="77777777" w:rsidR="00913F59" w:rsidRPr="001A7BD9" w:rsidRDefault="00913F59" w:rsidP="00913F59">
      <w:pPr>
        <w:pStyle w:val="Heading3"/>
        <w:numPr>
          <w:ilvl w:val="0"/>
          <w:numId w:val="1"/>
        </w:numPr>
        <w:spacing w:line="240" w:lineRule="auto"/>
        <w:ind w:hanging="180"/>
        <w:rPr>
          <w:caps/>
        </w:rPr>
      </w:pPr>
      <w:r w:rsidRPr="001A7BD9">
        <w:rPr>
          <w:caps/>
        </w:rPr>
        <w:t>Acquisition of Blood Biospecimens</w:t>
      </w:r>
      <w:bookmarkStart w:id="0" w:name="_GoBack"/>
      <w:bookmarkEnd w:id="0"/>
    </w:p>
    <w:p w14:paraId="5D337130" w14:textId="77777777" w:rsidR="00913F59" w:rsidRPr="001A7BD9" w:rsidRDefault="00913F59" w:rsidP="00913F59">
      <w:pPr>
        <w:pStyle w:val="ListParagraph"/>
        <w:numPr>
          <w:ilvl w:val="2"/>
          <w:numId w:val="6"/>
        </w:numPr>
        <w:tabs>
          <w:tab w:val="clear" w:pos="2610"/>
        </w:tabs>
        <w:ind w:left="1170"/>
        <w:rPr>
          <w:rFonts w:asciiTheme="minorHAnsi" w:hAnsiTheme="minorHAnsi" w:cs="Arial"/>
          <w:b/>
          <w:caps/>
          <w:sz w:val="22"/>
          <w:szCs w:val="20"/>
        </w:rPr>
      </w:pPr>
      <w:r w:rsidRPr="001A7BD9">
        <w:rPr>
          <w:rFonts w:asciiTheme="minorHAnsi" w:hAnsiTheme="minorHAnsi" w:cs="Arial"/>
          <w:b/>
          <w:caps/>
          <w:sz w:val="22"/>
          <w:szCs w:val="20"/>
        </w:rPr>
        <w:t xml:space="preserve">Sample volume: </w:t>
      </w:r>
    </w:p>
    <w:p w14:paraId="198A30A2" w14:textId="77777777" w:rsidR="00913F59" w:rsidRPr="001A7BD9" w:rsidRDefault="00913F59" w:rsidP="00913F59">
      <w:pPr>
        <w:pStyle w:val="ListParagraph"/>
        <w:ind w:left="1170"/>
        <w:rPr>
          <w:rFonts w:asciiTheme="minorHAnsi" w:hAnsiTheme="minorHAnsi" w:cs="Arial"/>
          <w:sz w:val="22"/>
          <w:szCs w:val="20"/>
        </w:rPr>
      </w:pPr>
      <w:r w:rsidRPr="001A7BD9">
        <w:rPr>
          <w:rFonts w:asciiTheme="minorHAnsi" w:hAnsiTheme="minorHAnsi" w:cs="Arial"/>
          <w:sz w:val="22"/>
          <w:szCs w:val="20"/>
        </w:rPr>
        <w:t xml:space="preserve">The original CDE Workgroup </w:t>
      </w:r>
      <w:r w:rsidRPr="001A7BD9">
        <w:rPr>
          <w:rFonts w:asciiTheme="minorHAnsi" w:eastAsia="Calibri" w:hAnsiTheme="minorHAnsi" w:cs="Arial"/>
          <w:sz w:val="22"/>
          <w:szCs w:val="20"/>
          <w:lang w:val="en-US" w:eastAsia="en-US"/>
        </w:rPr>
        <w:t xml:space="preserve">(i.e., the recommendations for adults on the preceding pages) </w:t>
      </w:r>
      <w:r w:rsidRPr="001A7BD9">
        <w:rPr>
          <w:rFonts w:asciiTheme="minorHAnsi" w:hAnsiTheme="minorHAnsi" w:cs="Arial"/>
          <w:sz w:val="22"/>
          <w:szCs w:val="20"/>
        </w:rPr>
        <w:t>recommended that 5-10ml of blood be collected for each sample. For pediatric subjects, we recommend that the volume collected be consistent with a pre-defined standard that meets at least the minimal IRB requirements. This is particularly important for serial sampling and for infants and young children. A standard table of allowable volumes is publically available and has been accepted by several IRBs including University of Pittsburgh, Children’s Hospital in Los Angeles, Baylor College of Medicine in Dallas, and Cincinnati Children’s Hospital (Table 1). It is important to recognize that the blood volumes in the table include blood collected both for research and clinical purposes. In a 4kg child, for example, the total allowable blood volume for research and clinical care in a single blood draw is 8ml; the total allowable blood volume for research and clinical care in a 30-day period is 16ml. Because of the limitations on blood volume, it can be very helpful to obtain IRB approval to use serum that is leftover from clinical samples for research purposes. This blood would otherwise be discarded and can be used for biomarker analysis as long as the processing and storage is appropriate as described below.</w:t>
      </w:r>
    </w:p>
    <w:p w14:paraId="6578636F" w14:textId="77777777" w:rsidR="00913F59" w:rsidRPr="001A7BD9" w:rsidRDefault="00913F59" w:rsidP="00913F59">
      <w:pPr>
        <w:pStyle w:val="ListParagraph"/>
        <w:numPr>
          <w:ilvl w:val="2"/>
          <w:numId w:val="6"/>
        </w:numPr>
        <w:tabs>
          <w:tab w:val="clear" w:pos="2610"/>
        </w:tabs>
        <w:ind w:left="1170"/>
        <w:rPr>
          <w:rFonts w:asciiTheme="minorHAnsi" w:eastAsia="Calibri" w:hAnsiTheme="minorHAnsi" w:cs="Arial"/>
          <w:caps/>
          <w:sz w:val="22"/>
          <w:szCs w:val="20"/>
          <w:lang w:val="en-US" w:eastAsia="en-US"/>
        </w:rPr>
      </w:pPr>
      <w:r w:rsidRPr="001A7BD9">
        <w:rPr>
          <w:rFonts w:asciiTheme="minorHAnsi" w:eastAsia="Calibri" w:hAnsiTheme="minorHAnsi" w:cs="Arial"/>
          <w:b/>
          <w:caps/>
          <w:sz w:val="22"/>
          <w:szCs w:val="20"/>
          <w:lang w:val="en-US" w:eastAsia="en-US"/>
        </w:rPr>
        <w:t>Risks of phlebotomy:</w:t>
      </w:r>
      <w:r w:rsidRPr="001A7BD9">
        <w:rPr>
          <w:rFonts w:asciiTheme="minorHAnsi" w:eastAsia="Calibri" w:hAnsiTheme="minorHAnsi" w:cs="Arial"/>
          <w:caps/>
          <w:sz w:val="22"/>
          <w:szCs w:val="20"/>
          <w:lang w:val="en-US" w:eastAsia="en-US"/>
        </w:rPr>
        <w:t xml:space="preserve"> </w:t>
      </w:r>
    </w:p>
    <w:p w14:paraId="568B7616" w14:textId="77777777" w:rsidR="00913F59" w:rsidRPr="001A7BD9" w:rsidRDefault="00913F59" w:rsidP="00913F59">
      <w:pPr>
        <w:pStyle w:val="ListParagraph"/>
        <w:ind w:left="1170"/>
        <w:rPr>
          <w:rFonts w:asciiTheme="minorHAnsi" w:eastAsia="Calibri" w:hAnsiTheme="minorHAnsi" w:cs="Arial"/>
          <w:sz w:val="22"/>
          <w:szCs w:val="20"/>
          <w:lang w:val="en-US" w:eastAsia="en-US"/>
        </w:rPr>
      </w:pPr>
      <w:r w:rsidRPr="001A7BD9">
        <w:rPr>
          <w:rFonts w:asciiTheme="minorHAnsi" w:eastAsia="Calibri" w:hAnsiTheme="minorHAnsi" w:cs="Arial"/>
          <w:sz w:val="22"/>
          <w:szCs w:val="20"/>
          <w:lang w:val="en-US" w:eastAsia="en-US"/>
        </w:rPr>
        <w:t>In a child with severe TBI, it is likely that arterial or central venous access will be available and phlebotomy will not be necessary. However, in children with mild to moderate TBI and in control subjects, phlebotomy may be necessary. While phlebotomy is considered a minimal risk procedure from an IRB-perspective, the pain/discomfort for a child undergoing phlebotomy must be taken into account and stated in any consent/assent. We would recommend that as part of the protocol/consent, there is a limit to the number of phlebotomy attempts which can be performed (i.e. preferably 1 or 2) in a child who cannot assent to the procedure (generally children &lt;7 yrs of age). In cases in which time permits, we would recommend that consideration be given to the use of a topical anesthetic prior to phlebotomy. Some IRBs require the use of a topical anesthetic as a way to minimize the risk of the pain associated with blood draws.</w:t>
      </w:r>
    </w:p>
    <w:p w14:paraId="3F3DFEE3" w14:textId="77777777" w:rsidR="00913F59" w:rsidRPr="001A7BD9" w:rsidRDefault="00913F59" w:rsidP="00913F59">
      <w:pPr>
        <w:pStyle w:val="ListParagraph"/>
        <w:numPr>
          <w:ilvl w:val="2"/>
          <w:numId w:val="6"/>
        </w:numPr>
        <w:tabs>
          <w:tab w:val="clear" w:pos="2610"/>
        </w:tabs>
        <w:ind w:left="1170"/>
        <w:rPr>
          <w:rFonts w:asciiTheme="minorHAnsi" w:hAnsiTheme="minorHAnsi" w:cs="Arial"/>
          <w:b/>
          <w:caps/>
          <w:sz w:val="22"/>
          <w:szCs w:val="20"/>
        </w:rPr>
      </w:pPr>
      <w:r w:rsidRPr="001A7BD9">
        <w:rPr>
          <w:rFonts w:asciiTheme="minorHAnsi" w:eastAsia="Calibri" w:hAnsiTheme="minorHAnsi" w:cs="Arial"/>
          <w:b/>
          <w:caps/>
          <w:sz w:val="22"/>
          <w:szCs w:val="20"/>
          <w:lang w:val="en-US" w:eastAsia="en-US"/>
        </w:rPr>
        <w:t>Site of sample collection:</w:t>
      </w:r>
      <w:r w:rsidRPr="001A7BD9">
        <w:rPr>
          <w:rFonts w:asciiTheme="minorHAnsi" w:eastAsia="Calibri" w:hAnsiTheme="minorHAnsi" w:cs="Arial"/>
          <w:caps/>
          <w:sz w:val="22"/>
          <w:szCs w:val="20"/>
          <w:lang w:val="en-US" w:eastAsia="en-US"/>
        </w:rPr>
        <w:t xml:space="preserve"> </w:t>
      </w:r>
    </w:p>
    <w:p w14:paraId="48681C96" w14:textId="77777777" w:rsidR="00913F59" w:rsidRPr="001A7BD9" w:rsidRDefault="00913F59" w:rsidP="00913F59">
      <w:pPr>
        <w:pStyle w:val="ListParagraph"/>
        <w:ind w:left="1170"/>
        <w:rPr>
          <w:rFonts w:asciiTheme="minorHAnsi" w:hAnsiTheme="minorHAnsi" w:cs="Arial"/>
          <w:b/>
          <w:sz w:val="22"/>
          <w:szCs w:val="20"/>
          <w:u w:val="single"/>
        </w:rPr>
      </w:pPr>
      <w:r w:rsidRPr="001A7BD9">
        <w:rPr>
          <w:rFonts w:asciiTheme="minorHAnsi" w:eastAsia="Calibri" w:hAnsiTheme="minorHAnsi" w:cs="Arial"/>
          <w:sz w:val="22"/>
          <w:szCs w:val="20"/>
          <w:lang w:val="en-US" w:eastAsia="en-US"/>
        </w:rPr>
        <w:t xml:space="preserve">We agree with the original CDE that documentation of collection site is important. While adult samples are generally limited to venous and arterial samples, capillary specimens are also a possibility in pre-mobile children. If the heel is pre-warmed and collection is done by an experienced phlebotomist, it is possible to collect 1ml of blood from a heel stick in a premobile child. However, it should be noted that no published data have directly compared biomarker concentrations in capillary and venous specimens. </w:t>
      </w:r>
    </w:p>
    <w:p w14:paraId="5D1D8354" w14:textId="77777777" w:rsidR="00913F59" w:rsidRPr="001A7BD9" w:rsidRDefault="00913F59" w:rsidP="00913F59">
      <w:pPr>
        <w:pStyle w:val="ListParagraph"/>
        <w:numPr>
          <w:ilvl w:val="2"/>
          <w:numId w:val="6"/>
        </w:numPr>
        <w:tabs>
          <w:tab w:val="clear" w:pos="2610"/>
        </w:tabs>
        <w:autoSpaceDE w:val="0"/>
        <w:autoSpaceDN w:val="0"/>
        <w:adjustRightInd w:val="0"/>
        <w:ind w:left="1170"/>
        <w:rPr>
          <w:rFonts w:asciiTheme="minorHAnsi" w:hAnsiTheme="minorHAnsi" w:cs="Arial"/>
          <w:b/>
          <w:sz w:val="22"/>
          <w:szCs w:val="20"/>
          <w:u w:val="single"/>
        </w:rPr>
      </w:pPr>
      <w:r w:rsidRPr="001A7BD9">
        <w:rPr>
          <w:rFonts w:asciiTheme="minorHAnsi" w:eastAsia="Calibri" w:hAnsiTheme="minorHAnsi" w:cs="Arial"/>
          <w:b/>
          <w:sz w:val="22"/>
          <w:szCs w:val="20"/>
          <w:lang w:val="en-US" w:eastAsia="en-US"/>
        </w:rPr>
        <w:t xml:space="preserve">URINE COLLECTION: </w:t>
      </w:r>
    </w:p>
    <w:p w14:paraId="50440961" w14:textId="77777777" w:rsidR="00913F59" w:rsidRPr="001A7BD9" w:rsidRDefault="00913F59" w:rsidP="00913F59">
      <w:pPr>
        <w:pStyle w:val="ListParagraph"/>
        <w:autoSpaceDE w:val="0"/>
        <w:autoSpaceDN w:val="0"/>
        <w:adjustRightInd w:val="0"/>
        <w:ind w:left="1170"/>
        <w:rPr>
          <w:rFonts w:asciiTheme="minorHAnsi" w:hAnsiTheme="minorHAnsi" w:cs="Arial"/>
          <w:b/>
          <w:sz w:val="22"/>
          <w:szCs w:val="20"/>
          <w:u w:val="single"/>
        </w:rPr>
      </w:pPr>
      <w:r w:rsidRPr="001A7BD9">
        <w:rPr>
          <w:rFonts w:asciiTheme="minorHAnsi" w:eastAsia="Calibri" w:hAnsiTheme="minorHAnsi" w:cs="Arial"/>
          <w:sz w:val="22"/>
          <w:szCs w:val="20"/>
          <w:lang w:val="en-US" w:eastAsia="en-US"/>
        </w:rPr>
        <w:t>Although not discussed as part of the recommendations of the original CDE, urine is another potential biospecimen that may be useful for biomarkers which are renally excreted. Urinary S100B concentrations have been evaluated in one pediatric TBI study and extensively in neonates with hypoxic-ischemic encephalopathy. (Berger and Kochanek 2006, Gazzolo, et al. 2001, Gazzolo, et al. 2003a)</w:t>
      </w:r>
    </w:p>
    <w:p w14:paraId="5D289C3D" w14:textId="77777777" w:rsidR="00913F59" w:rsidRPr="00F429F2" w:rsidRDefault="00913F59" w:rsidP="00913F59">
      <w:pPr>
        <w:pStyle w:val="ListParagraph"/>
        <w:numPr>
          <w:ilvl w:val="2"/>
          <w:numId w:val="6"/>
        </w:numPr>
        <w:tabs>
          <w:tab w:val="clear" w:pos="2610"/>
        </w:tabs>
        <w:autoSpaceDE w:val="0"/>
        <w:autoSpaceDN w:val="0"/>
        <w:adjustRightInd w:val="0"/>
        <w:ind w:left="1170"/>
        <w:rPr>
          <w:rFonts w:asciiTheme="minorHAnsi" w:eastAsia="Calibri" w:hAnsiTheme="minorHAnsi" w:cs="Arial"/>
          <w:sz w:val="22"/>
          <w:szCs w:val="20"/>
          <w:lang w:val="en-US" w:eastAsia="en-US"/>
        </w:rPr>
      </w:pPr>
      <w:r w:rsidRPr="001A7BD9">
        <w:rPr>
          <w:rFonts w:asciiTheme="minorHAnsi" w:eastAsia="Calibri" w:hAnsiTheme="minorHAnsi" w:cs="Arial"/>
          <w:b/>
          <w:caps/>
          <w:sz w:val="22"/>
          <w:szCs w:val="20"/>
          <w:lang w:val="en-US" w:eastAsia="en-US"/>
        </w:rPr>
        <w:t>Hemolysis:</w:t>
      </w:r>
      <w:r w:rsidRPr="001A7BD9">
        <w:rPr>
          <w:rFonts w:asciiTheme="minorHAnsi" w:eastAsia="Calibri" w:hAnsiTheme="minorHAnsi" w:cs="Arial"/>
          <w:sz w:val="22"/>
          <w:szCs w:val="20"/>
          <w:lang w:val="en-US" w:eastAsia="en-US"/>
        </w:rPr>
        <w:t xml:space="preserve"> </w:t>
      </w:r>
    </w:p>
    <w:p w14:paraId="79FEAD5E" w14:textId="77777777" w:rsidR="00913F59" w:rsidRPr="001A7BD9" w:rsidRDefault="00913F59" w:rsidP="00913F59">
      <w:pPr>
        <w:pStyle w:val="ListParagraph"/>
        <w:autoSpaceDE w:val="0"/>
        <w:autoSpaceDN w:val="0"/>
        <w:adjustRightInd w:val="0"/>
        <w:ind w:left="1170"/>
        <w:rPr>
          <w:rFonts w:asciiTheme="minorHAnsi" w:eastAsia="Calibri" w:hAnsiTheme="minorHAnsi" w:cs="Arial"/>
          <w:sz w:val="22"/>
          <w:szCs w:val="20"/>
          <w:lang w:val="en-US" w:eastAsia="en-US"/>
        </w:rPr>
      </w:pPr>
      <w:r w:rsidRPr="001A7BD9">
        <w:rPr>
          <w:rFonts w:asciiTheme="minorHAnsi" w:eastAsia="Calibri" w:hAnsiTheme="minorHAnsi" w:cs="Arial"/>
          <w:sz w:val="22"/>
          <w:szCs w:val="20"/>
          <w:lang w:val="en-US" w:eastAsia="en-US"/>
        </w:rPr>
        <w:t>Sample hemolysis is not discussed in the original CDE recommendations, but is an important issue in the pediatric patient because of the small needle gauge often used for phlebotomy. In addition, capillary specimens are frequently hemolyzed. Hemolysis can have an important effect on the concentrations of brain biomarkers, mostly notably neuron-specific enolase (NSE). NSE is found in small quantities in red blood cells and thus sample hemolysis can result in falsely elevated serum NSE concentrations. Previous research has demonstrated that qualitative assessment of the amount of hemolysis is not accurate. (Berger and Richichi 2009) In the case of NSE, it is possible to adjust the NSE concentration to account for the amount of hemolysis using a quantitative assessment of the amount of hemolysis and adjustment factor. (Berger and Richichi 2009) This type of adjustment factor has not been derived for other biomarkers.</w:t>
      </w:r>
    </w:p>
    <w:p w14:paraId="3A4DEDDA" w14:textId="77777777" w:rsidR="00913F59" w:rsidRPr="002B586B" w:rsidRDefault="00913F59" w:rsidP="00913F59">
      <w:pPr>
        <w:autoSpaceDE w:val="0"/>
        <w:autoSpaceDN w:val="0"/>
        <w:adjustRightInd w:val="0"/>
        <w:ind w:left="990"/>
        <w:rPr>
          <w:rFonts w:eastAsia="Calibri" w:cs="Arial"/>
          <w:szCs w:val="20"/>
          <w:lang w:val="en-US" w:eastAsia="en-US"/>
        </w:rPr>
      </w:pPr>
    </w:p>
    <w:p w14:paraId="5AAAA407" w14:textId="77777777" w:rsidR="00913F59" w:rsidRPr="001A7BD9" w:rsidRDefault="00913F59" w:rsidP="00913F59">
      <w:pPr>
        <w:pStyle w:val="Heading3"/>
        <w:numPr>
          <w:ilvl w:val="0"/>
          <w:numId w:val="1"/>
        </w:numPr>
        <w:spacing w:line="240" w:lineRule="auto"/>
        <w:ind w:hanging="180"/>
        <w:rPr>
          <w:caps/>
        </w:rPr>
      </w:pPr>
      <w:r w:rsidRPr="001A7BD9">
        <w:rPr>
          <w:caps/>
        </w:rPr>
        <w:t>Sample Processing</w:t>
      </w:r>
    </w:p>
    <w:p w14:paraId="5F638698" w14:textId="77777777" w:rsidR="00913F59" w:rsidRPr="001A7BD9" w:rsidRDefault="00913F59" w:rsidP="00913F59">
      <w:pPr>
        <w:autoSpaceDE w:val="0"/>
        <w:autoSpaceDN w:val="0"/>
        <w:adjustRightInd w:val="0"/>
        <w:ind w:left="810"/>
        <w:rPr>
          <w:rFonts w:asciiTheme="minorHAnsi" w:eastAsia="Calibri" w:hAnsiTheme="minorHAnsi" w:cs="Arial"/>
          <w:sz w:val="22"/>
          <w:szCs w:val="20"/>
          <w:lang w:val="en-US" w:eastAsia="en-US"/>
        </w:rPr>
      </w:pPr>
      <w:r w:rsidRPr="001A7BD9">
        <w:rPr>
          <w:rFonts w:asciiTheme="minorHAnsi" w:eastAsia="Calibri" w:hAnsiTheme="minorHAnsi" w:cs="Arial"/>
          <w:sz w:val="22"/>
          <w:szCs w:val="20"/>
          <w:lang w:val="en-US" w:eastAsia="en-US"/>
        </w:rPr>
        <w:t>We agree with the recommendations of the original CDE as it relates to sample processing with one small change related to sample volume. With multiplex bead technology, the volumes required for biomarker measurement are often &lt;100μl and therefore, an aliquot of 1-2ml could result in multiple freeze thaw cycles before the sample would be exhausted. We therefore recommend aliquots of 500μl. This recommendation is based on an assessment of an acceptable balance between the need to limit the number of freeze thaw cycles and the need to limit the amount of freezer space which is necessary as more aliquots are made for each subject sample.</w:t>
      </w:r>
    </w:p>
    <w:p w14:paraId="082F5E32" w14:textId="77777777" w:rsidR="00913F59" w:rsidRPr="00B00124" w:rsidRDefault="00913F59" w:rsidP="00913F59">
      <w:pPr>
        <w:autoSpaceDE w:val="0"/>
        <w:autoSpaceDN w:val="0"/>
        <w:adjustRightInd w:val="0"/>
        <w:rPr>
          <w:rFonts w:eastAsia="Calibri" w:cs="Arial"/>
          <w:szCs w:val="20"/>
          <w:lang w:val="en-US" w:eastAsia="en-US"/>
        </w:rPr>
      </w:pPr>
    </w:p>
    <w:p w14:paraId="1C3D6A00" w14:textId="77777777" w:rsidR="00913F59" w:rsidRPr="001A7BD9" w:rsidRDefault="00913F59" w:rsidP="00913F59">
      <w:pPr>
        <w:pStyle w:val="Heading3"/>
        <w:numPr>
          <w:ilvl w:val="0"/>
          <w:numId w:val="1"/>
        </w:numPr>
        <w:spacing w:line="240" w:lineRule="auto"/>
        <w:ind w:hanging="180"/>
        <w:rPr>
          <w:caps/>
        </w:rPr>
      </w:pPr>
      <w:r w:rsidRPr="001A7BD9">
        <w:rPr>
          <w:caps/>
        </w:rPr>
        <w:t>Documentation and Storage</w:t>
      </w:r>
    </w:p>
    <w:p w14:paraId="7B184090" w14:textId="77777777" w:rsidR="00913F59" w:rsidRDefault="00913F59" w:rsidP="00913F59">
      <w:pPr>
        <w:pStyle w:val="ListParagraph"/>
        <w:numPr>
          <w:ilvl w:val="2"/>
          <w:numId w:val="7"/>
        </w:numPr>
        <w:tabs>
          <w:tab w:val="clear" w:pos="2610"/>
        </w:tabs>
        <w:ind w:left="1170"/>
        <w:rPr>
          <w:rFonts w:asciiTheme="minorHAnsi" w:eastAsia="Calibri" w:hAnsiTheme="minorHAnsi" w:cs="Arial"/>
          <w:sz w:val="22"/>
          <w:szCs w:val="20"/>
          <w:lang w:val="en-US" w:eastAsia="en-US"/>
        </w:rPr>
      </w:pPr>
      <w:r w:rsidRPr="001A7BD9">
        <w:rPr>
          <w:rFonts w:asciiTheme="minorHAnsi" w:eastAsia="Calibri" w:hAnsiTheme="minorHAnsi" w:cs="Arial"/>
          <w:b/>
          <w:caps/>
          <w:sz w:val="22"/>
          <w:szCs w:val="20"/>
          <w:lang w:val="en-US" w:eastAsia="en-US"/>
        </w:rPr>
        <w:t>Documentation:</w:t>
      </w:r>
      <w:r w:rsidRPr="001A7BD9">
        <w:rPr>
          <w:rFonts w:asciiTheme="minorHAnsi" w:eastAsia="Calibri" w:hAnsiTheme="minorHAnsi" w:cs="Arial"/>
          <w:sz w:val="22"/>
          <w:szCs w:val="20"/>
          <w:lang w:val="en-US" w:eastAsia="en-US"/>
        </w:rPr>
        <w:t xml:space="preserve"> </w:t>
      </w:r>
    </w:p>
    <w:p w14:paraId="6C71C7D9" w14:textId="77777777" w:rsidR="00913F59" w:rsidRPr="001A7BD9" w:rsidRDefault="00913F59" w:rsidP="00913F59">
      <w:pPr>
        <w:pStyle w:val="ListParagraph"/>
        <w:ind w:left="1170"/>
        <w:rPr>
          <w:rFonts w:asciiTheme="minorHAnsi" w:eastAsia="Calibri" w:hAnsiTheme="minorHAnsi"/>
          <w:sz w:val="22"/>
          <w:lang w:val="en-US" w:eastAsia="en-US"/>
        </w:rPr>
      </w:pPr>
      <w:r w:rsidRPr="001A7BD9">
        <w:rPr>
          <w:rFonts w:asciiTheme="minorHAnsi" w:eastAsia="Calibri" w:hAnsiTheme="minorHAnsi" w:cs="Arial"/>
          <w:sz w:val="22"/>
          <w:szCs w:val="20"/>
          <w:lang w:val="en-US" w:eastAsia="en-US"/>
        </w:rPr>
        <w:t xml:space="preserve">One of the key CDE that must be recorded for each sample is the ‘time after injury’ when the sample is collected. This is particularly important for biomarkers with a short half-life such as S100B. In order to calculate the ‘time after injury,’ it is necessary to have both a ‘time of injury’ and ‘time of sample collection.’ In cases of abusive head trauma, an important cause of TBI in infants and young children, the time of injury is rarely known. As a result, we would recommend that in cases of suspected abuse or in other cases in which the time of injury is not known, the time of injury be set in a consistent fashion to the time of first contact with medical personnel (e.g. a call to EMS, EMS arrival or arrival to a hospital in cases in which EMS is not activated). Estimating the time of injury in this way provides consistency and allows for comparison between centers. </w:t>
      </w:r>
    </w:p>
    <w:p w14:paraId="640CD3A1" w14:textId="77777777" w:rsidR="00913F59" w:rsidRPr="001A7BD9" w:rsidRDefault="00913F59" w:rsidP="00913F59">
      <w:pPr>
        <w:pStyle w:val="ListParagraph"/>
        <w:numPr>
          <w:ilvl w:val="2"/>
          <w:numId w:val="7"/>
        </w:numPr>
        <w:tabs>
          <w:tab w:val="clear" w:pos="2610"/>
        </w:tabs>
        <w:ind w:left="1170"/>
        <w:rPr>
          <w:rFonts w:asciiTheme="minorHAnsi" w:eastAsia="Calibri" w:hAnsiTheme="minorHAnsi"/>
          <w:lang w:val="en-US" w:eastAsia="en-US"/>
        </w:rPr>
      </w:pPr>
      <w:r w:rsidRPr="001A7BD9">
        <w:rPr>
          <w:rFonts w:asciiTheme="minorHAnsi" w:eastAsia="Calibri" w:hAnsiTheme="minorHAnsi" w:cs="Arial"/>
          <w:b/>
          <w:caps/>
          <w:sz w:val="22"/>
          <w:szCs w:val="20"/>
          <w:lang w:val="en-US" w:eastAsia="en-US"/>
        </w:rPr>
        <w:t>Storage:</w:t>
      </w:r>
      <w:r w:rsidRPr="001A7BD9">
        <w:rPr>
          <w:rFonts w:asciiTheme="minorHAnsi" w:eastAsia="Calibri" w:hAnsiTheme="minorHAnsi" w:cs="Arial"/>
          <w:sz w:val="22"/>
          <w:szCs w:val="20"/>
          <w:lang w:val="en-US" w:eastAsia="en-US"/>
        </w:rPr>
        <w:t xml:space="preserve"> </w:t>
      </w:r>
    </w:p>
    <w:p w14:paraId="5B1FB4CF" w14:textId="77777777" w:rsidR="00913F59" w:rsidRDefault="00913F59" w:rsidP="00913F59">
      <w:pPr>
        <w:pStyle w:val="ListParagraph"/>
        <w:ind w:left="1170"/>
        <w:rPr>
          <w:rFonts w:asciiTheme="minorHAnsi" w:eastAsia="Calibri" w:hAnsiTheme="minorHAnsi" w:cs="Arial"/>
          <w:sz w:val="22"/>
          <w:szCs w:val="20"/>
          <w:lang w:val="en-US" w:eastAsia="en-US"/>
        </w:rPr>
      </w:pPr>
      <w:r w:rsidRPr="001A7BD9">
        <w:rPr>
          <w:rFonts w:asciiTheme="minorHAnsi" w:eastAsia="Calibri" w:hAnsiTheme="minorHAnsi" w:cs="Arial"/>
          <w:sz w:val="22"/>
          <w:szCs w:val="20"/>
          <w:lang w:val="en-US" w:eastAsia="en-US"/>
        </w:rPr>
        <w:t>We agree with original CDE recommendations related to sample storage with one important difference. Because the Office for Human Research Protection (OHRP) considers informed consent to be an ongoing process, unless the IRB determines that requirements for obtaining informed consent can be waived, investigators are required to obtain consent from the subject when he or she reaches age 18. This regulation applies to research with biospecimens because this type of study may involve the continued analysis of identifiable specimens (e.g, by linkage code). Thus, biospecimens obtained before the age of 18 must be discarded unless the subject either re-consents for the samples to be kept or the samples are rendered anonymous, meaning that all links to identifiable data are removed. As a result of this regulation, we recommend that at the time of sample collection, there be a plan in place for tracking subject age so that it is clear when each subject reaches his/her 18th birthday and for re-consenting, anonymizing or discarding all specimens at that time.</w:t>
      </w:r>
    </w:p>
    <w:p w14:paraId="6A68438F" w14:textId="77777777" w:rsidR="00913F59" w:rsidRDefault="00913F59" w:rsidP="00913F59">
      <w:pPr>
        <w:pStyle w:val="ListParagraph"/>
        <w:ind w:left="1170"/>
        <w:rPr>
          <w:rFonts w:asciiTheme="minorHAnsi" w:eastAsia="Calibri" w:hAnsiTheme="minorHAnsi" w:cs="Arial"/>
          <w:sz w:val="22"/>
          <w:szCs w:val="20"/>
          <w:lang w:val="en-US" w:eastAsia="en-US"/>
        </w:rPr>
      </w:pPr>
    </w:p>
    <w:p w14:paraId="3CF4C766" w14:textId="77777777" w:rsidR="00913F59" w:rsidRPr="001A7BD9" w:rsidRDefault="00913F59" w:rsidP="00913F59">
      <w:pPr>
        <w:pStyle w:val="ListParagraph"/>
        <w:ind w:left="1170"/>
        <w:rPr>
          <w:rFonts w:asciiTheme="minorHAnsi" w:eastAsia="Calibri" w:hAnsiTheme="minorHAnsi"/>
          <w:sz w:val="22"/>
          <w:lang w:val="en-US" w:eastAsia="en-US"/>
        </w:rPr>
      </w:pPr>
    </w:p>
    <w:p w14:paraId="159276F7" w14:textId="77777777" w:rsidR="00913F59" w:rsidRPr="001A7BD9" w:rsidRDefault="00913F59" w:rsidP="00913F59">
      <w:pPr>
        <w:pStyle w:val="ListParagraph"/>
        <w:ind w:left="990"/>
        <w:rPr>
          <w:rFonts w:eastAsia="Calibri"/>
          <w:lang w:val="en-US" w:eastAsia="en-US"/>
        </w:rPr>
      </w:pPr>
    </w:p>
    <w:p w14:paraId="2EEA8C37" w14:textId="77777777" w:rsidR="00913F59" w:rsidRPr="001A7BD9" w:rsidRDefault="00913F59" w:rsidP="00913F59">
      <w:pPr>
        <w:pStyle w:val="Heading3"/>
        <w:numPr>
          <w:ilvl w:val="0"/>
          <w:numId w:val="1"/>
        </w:numPr>
        <w:spacing w:line="240" w:lineRule="auto"/>
        <w:ind w:hanging="180"/>
        <w:rPr>
          <w:caps/>
        </w:rPr>
      </w:pPr>
      <w:r w:rsidRPr="001A7BD9">
        <w:rPr>
          <w:caps/>
        </w:rPr>
        <w:t>References</w:t>
      </w:r>
    </w:p>
    <w:p w14:paraId="7711F371" w14:textId="77777777" w:rsidR="00913F59" w:rsidRDefault="00913F59" w:rsidP="00913F59">
      <w:pPr>
        <w:autoSpaceDE w:val="0"/>
        <w:autoSpaceDN w:val="0"/>
        <w:adjustRightInd w:val="0"/>
        <w:ind w:left="810"/>
        <w:rPr>
          <w:rFonts w:asciiTheme="minorHAnsi" w:eastAsia="Calibri" w:hAnsiTheme="minorHAnsi" w:cs="Arial"/>
          <w:sz w:val="22"/>
          <w:szCs w:val="20"/>
          <w:lang w:val="en-US" w:eastAsia="en-US"/>
        </w:rPr>
      </w:pPr>
      <w:r w:rsidRPr="001A7BD9">
        <w:rPr>
          <w:rFonts w:asciiTheme="minorHAnsi" w:eastAsia="Calibri" w:hAnsiTheme="minorHAnsi" w:cs="Arial"/>
          <w:sz w:val="22"/>
          <w:szCs w:val="20"/>
          <w:lang w:val="en-US" w:eastAsia="en-US"/>
        </w:rPr>
        <w:t>Berger RP and Kochanek PM. (2006). Urinary S100B concentrations are increased after brain injury in children: A preliminary study. Pediatr Crit Care Med. 7:557-561.</w:t>
      </w:r>
    </w:p>
    <w:p w14:paraId="06B5319D" w14:textId="77777777" w:rsidR="00913F59" w:rsidRPr="001A7BD9" w:rsidRDefault="00913F59" w:rsidP="00913F59">
      <w:pPr>
        <w:autoSpaceDE w:val="0"/>
        <w:autoSpaceDN w:val="0"/>
        <w:adjustRightInd w:val="0"/>
        <w:ind w:left="810"/>
        <w:rPr>
          <w:rFonts w:asciiTheme="minorHAnsi" w:hAnsiTheme="minorHAnsi" w:cs="Arial"/>
          <w:b/>
          <w:sz w:val="22"/>
          <w:szCs w:val="20"/>
        </w:rPr>
      </w:pPr>
    </w:p>
    <w:p w14:paraId="703CF560" w14:textId="77777777" w:rsidR="00913F59" w:rsidRDefault="00913F59" w:rsidP="00913F59">
      <w:pPr>
        <w:tabs>
          <w:tab w:val="num" w:pos="810"/>
        </w:tabs>
        <w:ind w:left="810"/>
        <w:rPr>
          <w:rFonts w:asciiTheme="minorHAnsi" w:eastAsia="Calibri" w:hAnsiTheme="minorHAnsi" w:cs="Arial"/>
          <w:sz w:val="22"/>
          <w:szCs w:val="20"/>
          <w:lang w:val="en-US" w:eastAsia="en-US"/>
        </w:rPr>
      </w:pPr>
      <w:r w:rsidRPr="001A7BD9">
        <w:rPr>
          <w:rFonts w:asciiTheme="minorHAnsi" w:eastAsia="Calibri" w:hAnsiTheme="minorHAnsi" w:cs="Arial"/>
          <w:sz w:val="22"/>
          <w:szCs w:val="20"/>
          <w:lang w:val="en-US" w:eastAsia="en-US"/>
        </w:rPr>
        <w:t>Berger R and Richichi R. (2009). Derivation and validation of an equation for adjustment of neuron-specific enolase concentrations in hemolyzed serum. Pediatr Crit Care Med. 10:260-263.</w:t>
      </w:r>
    </w:p>
    <w:p w14:paraId="6D9E5D8E" w14:textId="77777777" w:rsidR="00913F59" w:rsidRPr="001A7BD9" w:rsidRDefault="00913F59" w:rsidP="00913F59">
      <w:pPr>
        <w:tabs>
          <w:tab w:val="num" w:pos="810"/>
        </w:tabs>
        <w:ind w:left="900"/>
        <w:rPr>
          <w:rFonts w:asciiTheme="minorHAnsi" w:eastAsia="Calibri" w:hAnsiTheme="minorHAnsi" w:cs="Arial"/>
          <w:sz w:val="22"/>
          <w:szCs w:val="20"/>
          <w:lang w:val="en-US" w:eastAsia="en-US"/>
        </w:rPr>
      </w:pPr>
    </w:p>
    <w:p w14:paraId="6F781030" w14:textId="77777777" w:rsidR="00913F59" w:rsidRDefault="00913F59" w:rsidP="00913F59">
      <w:pPr>
        <w:autoSpaceDE w:val="0"/>
        <w:autoSpaceDN w:val="0"/>
        <w:adjustRightInd w:val="0"/>
        <w:ind w:left="810"/>
        <w:rPr>
          <w:rFonts w:asciiTheme="minorHAnsi" w:eastAsia="Calibri" w:hAnsiTheme="minorHAnsi" w:cs="Arial"/>
          <w:sz w:val="22"/>
          <w:szCs w:val="20"/>
          <w:lang w:val="en-US" w:eastAsia="en-US"/>
        </w:rPr>
      </w:pPr>
      <w:r w:rsidRPr="001A7BD9">
        <w:rPr>
          <w:rFonts w:asciiTheme="minorHAnsi" w:eastAsia="Calibri" w:hAnsiTheme="minorHAnsi" w:cs="Arial"/>
          <w:sz w:val="22"/>
          <w:szCs w:val="20"/>
          <w:lang w:val="en-US" w:eastAsia="en-US"/>
        </w:rPr>
        <w:t>Gazzolo D, Bruschettini M, Lituania M, Serra G, Bonacci W and Michetti F. (2001). Increased urinary S100B protein as an early indicator of intraventricular hemorrhage in preterm infants: correlation with the grade of hemorrhage. Clin Chem. 47:1836-1838.</w:t>
      </w:r>
    </w:p>
    <w:p w14:paraId="6C11E829" w14:textId="77777777" w:rsidR="00913F59" w:rsidRPr="001A7BD9" w:rsidRDefault="00913F59" w:rsidP="00913F59">
      <w:pPr>
        <w:autoSpaceDE w:val="0"/>
        <w:autoSpaceDN w:val="0"/>
        <w:adjustRightInd w:val="0"/>
        <w:ind w:left="900"/>
        <w:rPr>
          <w:rFonts w:asciiTheme="minorHAnsi" w:eastAsia="Calibri" w:hAnsiTheme="minorHAnsi" w:cs="Arial"/>
          <w:sz w:val="22"/>
          <w:szCs w:val="20"/>
          <w:lang w:val="en-US" w:eastAsia="en-US"/>
        </w:rPr>
      </w:pPr>
    </w:p>
    <w:p w14:paraId="06046E4D" w14:textId="77777777" w:rsidR="00913F59" w:rsidRPr="001A7BD9" w:rsidRDefault="00913F59" w:rsidP="00913F59">
      <w:pPr>
        <w:autoSpaceDE w:val="0"/>
        <w:autoSpaceDN w:val="0"/>
        <w:adjustRightInd w:val="0"/>
        <w:ind w:left="810"/>
        <w:rPr>
          <w:rFonts w:asciiTheme="minorHAnsi" w:eastAsia="Calibri" w:hAnsiTheme="minorHAnsi" w:cs="Arial"/>
          <w:sz w:val="22"/>
          <w:szCs w:val="20"/>
          <w:lang w:val="en-US" w:eastAsia="en-US"/>
        </w:rPr>
      </w:pPr>
      <w:r w:rsidRPr="001A7BD9">
        <w:rPr>
          <w:rFonts w:asciiTheme="minorHAnsi" w:eastAsia="Calibri" w:hAnsiTheme="minorHAnsi" w:cs="Arial"/>
          <w:sz w:val="22"/>
          <w:szCs w:val="20"/>
          <w:lang w:val="en-US" w:eastAsia="en-US"/>
        </w:rPr>
        <w:t>Gazzolo D, Marinoni E, Di Iorio R, Bruschettini M, Kornacka M, Lituania M, Majewska U, Serra G and Michetti F. (2003a). Measurement of urinary S100B protein concentrations for the early identification of brain damage in asphyxiated full-term infants. Arch Pediatr Adolesc Med. 157:1163-1168.</w:t>
      </w:r>
    </w:p>
    <w:p w14:paraId="730827C2" w14:textId="77777777" w:rsidR="00913F59" w:rsidRDefault="00913F59" w:rsidP="00913F59">
      <w:pPr>
        <w:autoSpaceDE w:val="0"/>
        <w:autoSpaceDN w:val="0"/>
        <w:adjustRightInd w:val="0"/>
        <w:ind w:left="720"/>
        <w:rPr>
          <w:rFonts w:eastAsia="Calibri" w:cs="Arial"/>
          <w:szCs w:val="20"/>
          <w:lang w:val="en-US" w:eastAsia="en-US"/>
        </w:rPr>
        <w:sectPr w:rsidR="00913F59" w:rsidSect="00B05C30">
          <w:pgSz w:w="12240" w:h="15840"/>
          <w:pgMar w:top="1440" w:right="1440" w:bottom="1440" w:left="1440" w:header="720" w:footer="720" w:gutter="0"/>
          <w:cols w:space="720"/>
          <w:docGrid w:linePitch="360"/>
        </w:sectPr>
      </w:pPr>
    </w:p>
    <w:p w14:paraId="1AEA28A0" w14:textId="77777777" w:rsidR="00913F59" w:rsidRDefault="00913F59" w:rsidP="00913F59">
      <w:pPr>
        <w:pStyle w:val="Caption"/>
        <w:keepNext/>
        <w:jc w:val="center"/>
      </w:pPr>
      <w:r>
        <w:t xml:space="preserve">Table </w:t>
      </w:r>
      <w:r>
        <w:fldChar w:fldCharType="begin"/>
      </w:r>
      <w:r>
        <w:instrText xml:space="preserve"> SEQ Tabel \* ARABIC </w:instrText>
      </w:r>
      <w:r>
        <w:fldChar w:fldCharType="separate"/>
      </w:r>
      <w:r>
        <w:rPr>
          <w:noProof/>
        </w:rPr>
        <w:t>1</w:t>
      </w:r>
      <w:r>
        <w:fldChar w:fldCharType="end"/>
      </w:r>
      <w:r>
        <w:t xml:space="preserve"> MAXIMUM ALLOWABLE TOTAL BLOOD DRAW VOLUMES</w:t>
      </w:r>
    </w:p>
    <w:p w14:paraId="24255260" w14:textId="77777777" w:rsidR="00913F59" w:rsidRPr="00FE1919" w:rsidRDefault="00913F59" w:rsidP="00913F59"/>
    <w:p w14:paraId="46D5F4F5" w14:textId="77777777" w:rsidR="00913F59" w:rsidRPr="001A7BD9" w:rsidRDefault="00913F59" w:rsidP="00913F59"/>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990"/>
        <w:gridCol w:w="1260"/>
        <w:gridCol w:w="1620"/>
        <w:gridCol w:w="1710"/>
        <w:gridCol w:w="1350"/>
        <w:gridCol w:w="1535"/>
      </w:tblGrid>
      <w:tr w:rsidR="00913F59" w:rsidRPr="00284B41" w14:paraId="074411A3" w14:textId="77777777" w:rsidTr="00DE3A76">
        <w:trPr>
          <w:trHeight w:val="1586"/>
          <w:tblHeader/>
          <w:jc w:val="center"/>
        </w:trPr>
        <w:tc>
          <w:tcPr>
            <w:tcW w:w="895" w:type="dxa"/>
          </w:tcPr>
          <w:p w14:paraId="19232ACE" w14:textId="77777777" w:rsidR="00913F59" w:rsidRPr="00A4719D" w:rsidRDefault="00913F59" w:rsidP="00DE3A76">
            <w:pPr>
              <w:jc w:val="center"/>
            </w:pPr>
            <w:r w:rsidRPr="00A4719D">
              <w:t>Body Wt (Kg)</w:t>
            </w:r>
          </w:p>
        </w:tc>
        <w:tc>
          <w:tcPr>
            <w:tcW w:w="990" w:type="dxa"/>
          </w:tcPr>
          <w:p w14:paraId="752DE578" w14:textId="77777777" w:rsidR="00913F59" w:rsidRPr="00A4719D" w:rsidRDefault="00913F59" w:rsidP="00DE3A76">
            <w:pPr>
              <w:jc w:val="center"/>
            </w:pPr>
            <w:r w:rsidRPr="00A4719D">
              <w:t>Body Wt (lbs)</w:t>
            </w:r>
          </w:p>
        </w:tc>
        <w:tc>
          <w:tcPr>
            <w:tcW w:w="1260" w:type="dxa"/>
          </w:tcPr>
          <w:p w14:paraId="7CC9151E" w14:textId="77777777" w:rsidR="00913F59" w:rsidRPr="00A4719D" w:rsidRDefault="00913F59" w:rsidP="00DE3A76">
            <w:pPr>
              <w:jc w:val="center"/>
            </w:pPr>
            <w:r>
              <w:t>Total blood volume (mL)</w:t>
            </w:r>
          </w:p>
        </w:tc>
        <w:tc>
          <w:tcPr>
            <w:tcW w:w="1620" w:type="dxa"/>
          </w:tcPr>
          <w:p w14:paraId="493C08B9" w14:textId="77777777" w:rsidR="00913F59" w:rsidRPr="00A4719D" w:rsidRDefault="00913F59" w:rsidP="00DE3A76">
            <w:pPr>
              <w:jc w:val="center"/>
            </w:pPr>
            <w:r w:rsidRPr="00A4719D">
              <w:t>Maximum allowable volume (mL) in one blood draw</w:t>
            </w:r>
          </w:p>
          <w:p w14:paraId="1F277F8B" w14:textId="77777777" w:rsidR="00913F59" w:rsidRPr="00A4719D" w:rsidRDefault="00913F59" w:rsidP="00DE3A76">
            <w:pPr>
              <w:jc w:val="center"/>
            </w:pPr>
            <w:r w:rsidRPr="00A4719D">
              <w:t>( = 2.5% of total blood volume)</w:t>
            </w:r>
          </w:p>
        </w:tc>
        <w:tc>
          <w:tcPr>
            <w:tcW w:w="1710" w:type="dxa"/>
          </w:tcPr>
          <w:p w14:paraId="4954C545" w14:textId="77777777" w:rsidR="00913F59" w:rsidRPr="00A4719D" w:rsidRDefault="00913F59" w:rsidP="00DE3A76">
            <w:pPr>
              <w:jc w:val="center"/>
            </w:pPr>
            <w:r w:rsidRPr="00A4719D">
              <w:t>Maximum volume (clinical + research) (mL) in a 30-day period</w:t>
            </w:r>
          </w:p>
        </w:tc>
        <w:tc>
          <w:tcPr>
            <w:tcW w:w="1350" w:type="dxa"/>
          </w:tcPr>
          <w:p w14:paraId="5420D6BC" w14:textId="77777777" w:rsidR="00913F59" w:rsidRPr="00A4719D" w:rsidRDefault="00913F59" w:rsidP="00DE3A76">
            <w:pPr>
              <w:jc w:val="center"/>
            </w:pPr>
            <w:r w:rsidRPr="00A4719D">
              <w:t>Minimum Hgb required at time of blood draw</w:t>
            </w:r>
          </w:p>
        </w:tc>
        <w:tc>
          <w:tcPr>
            <w:tcW w:w="1535" w:type="dxa"/>
          </w:tcPr>
          <w:p w14:paraId="0ADACF01" w14:textId="77777777" w:rsidR="00913F59" w:rsidRPr="00A4719D" w:rsidRDefault="00913F59" w:rsidP="00DE3A76">
            <w:pPr>
              <w:jc w:val="center"/>
            </w:pPr>
            <w:r w:rsidRPr="00A4719D">
              <w:t>Minimum Hgb required at time of blood draw if subject has respiratory/CV compromise</w:t>
            </w:r>
          </w:p>
        </w:tc>
      </w:tr>
      <w:tr w:rsidR="00913F59" w:rsidRPr="00284B41" w14:paraId="01A792A6" w14:textId="77777777" w:rsidTr="00DE3A76">
        <w:trPr>
          <w:jc w:val="center"/>
        </w:trPr>
        <w:tc>
          <w:tcPr>
            <w:tcW w:w="895" w:type="dxa"/>
          </w:tcPr>
          <w:p w14:paraId="59655D80" w14:textId="77777777" w:rsidR="00913F59" w:rsidRPr="00284B41" w:rsidRDefault="00913F59" w:rsidP="00DE3A76">
            <w:pPr>
              <w:jc w:val="center"/>
            </w:pPr>
            <w:r w:rsidRPr="00284B41">
              <w:t>1</w:t>
            </w:r>
          </w:p>
        </w:tc>
        <w:tc>
          <w:tcPr>
            <w:tcW w:w="990" w:type="dxa"/>
          </w:tcPr>
          <w:p w14:paraId="20C0D5B0" w14:textId="77777777" w:rsidR="00913F59" w:rsidRPr="00284B41" w:rsidRDefault="00913F59" w:rsidP="00DE3A76">
            <w:pPr>
              <w:jc w:val="center"/>
            </w:pPr>
            <w:r w:rsidRPr="00284B41">
              <w:t>2.2</w:t>
            </w:r>
          </w:p>
        </w:tc>
        <w:tc>
          <w:tcPr>
            <w:tcW w:w="1260" w:type="dxa"/>
          </w:tcPr>
          <w:p w14:paraId="20D280C7" w14:textId="77777777" w:rsidR="00913F59" w:rsidRPr="00284B41" w:rsidRDefault="00913F59" w:rsidP="00DE3A76">
            <w:pPr>
              <w:jc w:val="center"/>
            </w:pPr>
            <w:r w:rsidRPr="00284B41">
              <w:t>100</w:t>
            </w:r>
          </w:p>
        </w:tc>
        <w:tc>
          <w:tcPr>
            <w:tcW w:w="1620" w:type="dxa"/>
          </w:tcPr>
          <w:p w14:paraId="46A322D7" w14:textId="77777777" w:rsidR="00913F59" w:rsidRPr="00284B41" w:rsidRDefault="00913F59" w:rsidP="00DE3A76">
            <w:pPr>
              <w:jc w:val="center"/>
            </w:pPr>
            <w:r w:rsidRPr="00284B41">
              <w:t>2.5</w:t>
            </w:r>
          </w:p>
        </w:tc>
        <w:tc>
          <w:tcPr>
            <w:tcW w:w="1710" w:type="dxa"/>
          </w:tcPr>
          <w:p w14:paraId="7B7C760E" w14:textId="77777777" w:rsidR="00913F59" w:rsidRPr="00284B41" w:rsidRDefault="00913F59" w:rsidP="00DE3A76">
            <w:pPr>
              <w:jc w:val="center"/>
            </w:pPr>
            <w:r w:rsidRPr="00284B41">
              <w:t>5</w:t>
            </w:r>
          </w:p>
        </w:tc>
        <w:tc>
          <w:tcPr>
            <w:tcW w:w="1350" w:type="dxa"/>
          </w:tcPr>
          <w:p w14:paraId="70CA0320" w14:textId="77777777" w:rsidR="00913F59" w:rsidRPr="00284B41" w:rsidRDefault="00913F59" w:rsidP="00DE3A76">
            <w:pPr>
              <w:jc w:val="center"/>
            </w:pPr>
            <w:r w:rsidRPr="00284B41">
              <w:t>7.0</w:t>
            </w:r>
          </w:p>
        </w:tc>
        <w:tc>
          <w:tcPr>
            <w:tcW w:w="1535" w:type="dxa"/>
          </w:tcPr>
          <w:p w14:paraId="10E6CF33" w14:textId="77777777" w:rsidR="00913F59" w:rsidRPr="00284B41" w:rsidRDefault="00913F59" w:rsidP="00DE3A76">
            <w:pPr>
              <w:jc w:val="center"/>
            </w:pPr>
            <w:r w:rsidRPr="00284B41">
              <w:t>9.0-10.0</w:t>
            </w:r>
          </w:p>
        </w:tc>
      </w:tr>
      <w:tr w:rsidR="00913F59" w:rsidRPr="00284B41" w14:paraId="6B695D70" w14:textId="77777777" w:rsidTr="00DE3A76">
        <w:trPr>
          <w:jc w:val="center"/>
        </w:trPr>
        <w:tc>
          <w:tcPr>
            <w:tcW w:w="895" w:type="dxa"/>
          </w:tcPr>
          <w:p w14:paraId="14B1A9D9" w14:textId="77777777" w:rsidR="00913F59" w:rsidRPr="00284B41" w:rsidRDefault="00913F59" w:rsidP="00DE3A76">
            <w:pPr>
              <w:jc w:val="center"/>
            </w:pPr>
            <w:r w:rsidRPr="00284B41">
              <w:t>2</w:t>
            </w:r>
          </w:p>
        </w:tc>
        <w:tc>
          <w:tcPr>
            <w:tcW w:w="990" w:type="dxa"/>
          </w:tcPr>
          <w:p w14:paraId="7ECD9E81" w14:textId="77777777" w:rsidR="00913F59" w:rsidRPr="00284B41" w:rsidRDefault="00913F59" w:rsidP="00DE3A76">
            <w:pPr>
              <w:jc w:val="center"/>
            </w:pPr>
            <w:r w:rsidRPr="00284B41">
              <w:t>4.4</w:t>
            </w:r>
          </w:p>
        </w:tc>
        <w:tc>
          <w:tcPr>
            <w:tcW w:w="1260" w:type="dxa"/>
          </w:tcPr>
          <w:p w14:paraId="3146BACE" w14:textId="77777777" w:rsidR="00913F59" w:rsidRPr="00284B41" w:rsidRDefault="00913F59" w:rsidP="00DE3A76">
            <w:pPr>
              <w:jc w:val="center"/>
            </w:pPr>
            <w:r w:rsidRPr="00284B41">
              <w:t>200</w:t>
            </w:r>
          </w:p>
        </w:tc>
        <w:tc>
          <w:tcPr>
            <w:tcW w:w="1620" w:type="dxa"/>
          </w:tcPr>
          <w:p w14:paraId="01793D58" w14:textId="77777777" w:rsidR="00913F59" w:rsidRPr="00284B41" w:rsidRDefault="00913F59" w:rsidP="00DE3A76">
            <w:pPr>
              <w:jc w:val="center"/>
            </w:pPr>
            <w:r w:rsidRPr="00284B41">
              <w:t>5</w:t>
            </w:r>
          </w:p>
        </w:tc>
        <w:tc>
          <w:tcPr>
            <w:tcW w:w="1710" w:type="dxa"/>
          </w:tcPr>
          <w:p w14:paraId="2332F78B" w14:textId="77777777" w:rsidR="00913F59" w:rsidRPr="00284B41" w:rsidRDefault="00913F59" w:rsidP="00DE3A76">
            <w:pPr>
              <w:jc w:val="center"/>
            </w:pPr>
            <w:r w:rsidRPr="00284B41">
              <w:t>10</w:t>
            </w:r>
          </w:p>
        </w:tc>
        <w:tc>
          <w:tcPr>
            <w:tcW w:w="1350" w:type="dxa"/>
          </w:tcPr>
          <w:p w14:paraId="754F472B" w14:textId="77777777" w:rsidR="00913F59" w:rsidRPr="00284B41" w:rsidRDefault="00913F59" w:rsidP="00DE3A76">
            <w:pPr>
              <w:jc w:val="center"/>
            </w:pPr>
            <w:r w:rsidRPr="00284B41">
              <w:t>7.0</w:t>
            </w:r>
          </w:p>
        </w:tc>
        <w:tc>
          <w:tcPr>
            <w:tcW w:w="1535" w:type="dxa"/>
          </w:tcPr>
          <w:p w14:paraId="7D6A2062" w14:textId="77777777" w:rsidR="00913F59" w:rsidRPr="00284B41" w:rsidRDefault="00913F59" w:rsidP="00DE3A76">
            <w:pPr>
              <w:jc w:val="center"/>
            </w:pPr>
            <w:r w:rsidRPr="00284B41">
              <w:t>9.0-10.0</w:t>
            </w:r>
          </w:p>
        </w:tc>
      </w:tr>
      <w:tr w:rsidR="00913F59" w:rsidRPr="00284B41" w14:paraId="22B5E177" w14:textId="77777777" w:rsidTr="00DE3A76">
        <w:trPr>
          <w:jc w:val="center"/>
        </w:trPr>
        <w:tc>
          <w:tcPr>
            <w:tcW w:w="895" w:type="dxa"/>
          </w:tcPr>
          <w:p w14:paraId="44328C0C" w14:textId="77777777" w:rsidR="00913F59" w:rsidRPr="00284B41" w:rsidRDefault="00913F59" w:rsidP="00DE3A76">
            <w:pPr>
              <w:jc w:val="center"/>
            </w:pPr>
            <w:r w:rsidRPr="00284B41">
              <w:t>3</w:t>
            </w:r>
          </w:p>
        </w:tc>
        <w:tc>
          <w:tcPr>
            <w:tcW w:w="990" w:type="dxa"/>
          </w:tcPr>
          <w:p w14:paraId="623373A9" w14:textId="77777777" w:rsidR="00913F59" w:rsidRPr="00284B41" w:rsidRDefault="00913F59" w:rsidP="00DE3A76">
            <w:pPr>
              <w:jc w:val="center"/>
            </w:pPr>
            <w:r w:rsidRPr="00284B41">
              <w:t>6.3</w:t>
            </w:r>
          </w:p>
        </w:tc>
        <w:tc>
          <w:tcPr>
            <w:tcW w:w="1260" w:type="dxa"/>
          </w:tcPr>
          <w:p w14:paraId="6AE90949" w14:textId="77777777" w:rsidR="00913F59" w:rsidRPr="00284B41" w:rsidRDefault="00913F59" w:rsidP="00DE3A76">
            <w:pPr>
              <w:jc w:val="center"/>
            </w:pPr>
            <w:r w:rsidRPr="00284B41">
              <w:t>240</w:t>
            </w:r>
          </w:p>
        </w:tc>
        <w:tc>
          <w:tcPr>
            <w:tcW w:w="1620" w:type="dxa"/>
          </w:tcPr>
          <w:p w14:paraId="09162F22" w14:textId="77777777" w:rsidR="00913F59" w:rsidRPr="00284B41" w:rsidRDefault="00913F59" w:rsidP="00DE3A76">
            <w:pPr>
              <w:jc w:val="center"/>
            </w:pPr>
            <w:r w:rsidRPr="00284B41">
              <w:t>6</w:t>
            </w:r>
          </w:p>
        </w:tc>
        <w:tc>
          <w:tcPr>
            <w:tcW w:w="1710" w:type="dxa"/>
          </w:tcPr>
          <w:p w14:paraId="331AD756" w14:textId="77777777" w:rsidR="00913F59" w:rsidRPr="00284B41" w:rsidRDefault="00913F59" w:rsidP="00DE3A76">
            <w:pPr>
              <w:jc w:val="center"/>
            </w:pPr>
            <w:r w:rsidRPr="00284B41">
              <w:t>12</w:t>
            </w:r>
          </w:p>
        </w:tc>
        <w:tc>
          <w:tcPr>
            <w:tcW w:w="1350" w:type="dxa"/>
          </w:tcPr>
          <w:p w14:paraId="27C3C99F" w14:textId="77777777" w:rsidR="00913F59" w:rsidRPr="00284B41" w:rsidRDefault="00913F59" w:rsidP="00DE3A76">
            <w:pPr>
              <w:jc w:val="center"/>
            </w:pPr>
            <w:r w:rsidRPr="00284B41">
              <w:t>7.0</w:t>
            </w:r>
          </w:p>
        </w:tc>
        <w:tc>
          <w:tcPr>
            <w:tcW w:w="1535" w:type="dxa"/>
          </w:tcPr>
          <w:p w14:paraId="1D1AA843" w14:textId="77777777" w:rsidR="00913F59" w:rsidRPr="00284B41" w:rsidRDefault="00913F59" w:rsidP="00DE3A76">
            <w:pPr>
              <w:jc w:val="center"/>
            </w:pPr>
            <w:r w:rsidRPr="00284B41">
              <w:t>9.0-10.0</w:t>
            </w:r>
          </w:p>
        </w:tc>
      </w:tr>
      <w:tr w:rsidR="00913F59" w:rsidRPr="00284B41" w14:paraId="53D4C057" w14:textId="77777777" w:rsidTr="00DE3A76">
        <w:trPr>
          <w:jc w:val="center"/>
        </w:trPr>
        <w:tc>
          <w:tcPr>
            <w:tcW w:w="895" w:type="dxa"/>
          </w:tcPr>
          <w:p w14:paraId="369764E1" w14:textId="77777777" w:rsidR="00913F59" w:rsidRPr="00284B41" w:rsidRDefault="00913F59" w:rsidP="00DE3A76">
            <w:pPr>
              <w:jc w:val="center"/>
            </w:pPr>
            <w:r w:rsidRPr="00284B41">
              <w:t>4</w:t>
            </w:r>
          </w:p>
        </w:tc>
        <w:tc>
          <w:tcPr>
            <w:tcW w:w="990" w:type="dxa"/>
          </w:tcPr>
          <w:p w14:paraId="6905CCA0" w14:textId="77777777" w:rsidR="00913F59" w:rsidRPr="00284B41" w:rsidRDefault="00913F59" w:rsidP="00DE3A76">
            <w:pPr>
              <w:jc w:val="center"/>
            </w:pPr>
            <w:r w:rsidRPr="00284B41">
              <w:t>8.8</w:t>
            </w:r>
          </w:p>
        </w:tc>
        <w:tc>
          <w:tcPr>
            <w:tcW w:w="1260" w:type="dxa"/>
          </w:tcPr>
          <w:p w14:paraId="1E87FB81" w14:textId="77777777" w:rsidR="00913F59" w:rsidRPr="00284B41" w:rsidRDefault="00913F59" w:rsidP="00DE3A76">
            <w:pPr>
              <w:jc w:val="center"/>
            </w:pPr>
            <w:r w:rsidRPr="00284B41">
              <w:t>320</w:t>
            </w:r>
          </w:p>
        </w:tc>
        <w:tc>
          <w:tcPr>
            <w:tcW w:w="1620" w:type="dxa"/>
          </w:tcPr>
          <w:p w14:paraId="61C8547C" w14:textId="77777777" w:rsidR="00913F59" w:rsidRPr="00284B41" w:rsidRDefault="00913F59" w:rsidP="00DE3A76">
            <w:pPr>
              <w:jc w:val="center"/>
            </w:pPr>
            <w:r w:rsidRPr="00284B41">
              <w:t>8</w:t>
            </w:r>
          </w:p>
        </w:tc>
        <w:tc>
          <w:tcPr>
            <w:tcW w:w="1710" w:type="dxa"/>
          </w:tcPr>
          <w:p w14:paraId="5D5E03F8" w14:textId="77777777" w:rsidR="00913F59" w:rsidRPr="00284B41" w:rsidRDefault="00913F59" w:rsidP="00DE3A76">
            <w:pPr>
              <w:jc w:val="center"/>
            </w:pPr>
            <w:r w:rsidRPr="00284B41">
              <w:t>16</w:t>
            </w:r>
          </w:p>
        </w:tc>
        <w:tc>
          <w:tcPr>
            <w:tcW w:w="1350" w:type="dxa"/>
          </w:tcPr>
          <w:p w14:paraId="7ACB22A6" w14:textId="77777777" w:rsidR="00913F59" w:rsidRPr="00284B41" w:rsidRDefault="00913F59" w:rsidP="00DE3A76">
            <w:pPr>
              <w:jc w:val="center"/>
            </w:pPr>
            <w:r w:rsidRPr="00284B41">
              <w:t>7.0</w:t>
            </w:r>
          </w:p>
        </w:tc>
        <w:tc>
          <w:tcPr>
            <w:tcW w:w="1535" w:type="dxa"/>
          </w:tcPr>
          <w:p w14:paraId="5DFD272D" w14:textId="77777777" w:rsidR="00913F59" w:rsidRPr="00284B41" w:rsidRDefault="00913F59" w:rsidP="00DE3A76">
            <w:pPr>
              <w:jc w:val="center"/>
            </w:pPr>
            <w:r w:rsidRPr="00284B41">
              <w:t>9.0-10.0</w:t>
            </w:r>
          </w:p>
        </w:tc>
      </w:tr>
      <w:tr w:rsidR="00913F59" w:rsidRPr="00284B41" w14:paraId="46B19808" w14:textId="77777777" w:rsidTr="00DE3A76">
        <w:trPr>
          <w:jc w:val="center"/>
        </w:trPr>
        <w:tc>
          <w:tcPr>
            <w:tcW w:w="895" w:type="dxa"/>
          </w:tcPr>
          <w:p w14:paraId="23E39F07" w14:textId="77777777" w:rsidR="00913F59" w:rsidRPr="00284B41" w:rsidRDefault="00913F59" w:rsidP="00DE3A76">
            <w:pPr>
              <w:jc w:val="center"/>
            </w:pPr>
            <w:r w:rsidRPr="00284B41">
              <w:t>5</w:t>
            </w:r>
          </w:p>
        </w:tc>
        <w:tc>
          <w:tcPr>
            <w:tcW w:w="990" w:type="dxa"/>
          </w:tcPr>
          <w:p w14:paraId="6E5885B7" w14:textId="77777777" w:rsidR="00913F59" w:rsidRPr="00284B41" w:rsidRDefault="00913F59" w:rsidP="00DE3A76">
            <w:pPr>
              <w:jc w:val="center"/>
            </w:pPr>
            <w:r w:rsidRPr="00284B41">
              <w:t>11</w:t>
            </w:r>
          </w:p>
        </w:tc>
        <w:tc>
          <w:tcPr>
            <w:tcW w:w="1260" w:type="dxa"/>
          </w:tcPr>
          <w:p w14:paraId="550EA3D5" w14:textId="77777777" w:rsidR="00913F59" w:rsidRPr="00284B41" w:rsidRDefault="00913F59" w:rsidP="00DE3A76">
            <w:pPr>
              <w:jc w:val="center"/>
            </w:pPr>
            <w:r w:rsidRPr="00284B41">
              <w:t>400</w:t>
            </w:r>
          </w:p>
        </w:tc>
        <w:tc>
          <w:tcPr>
            <w:tcW w:w="1620" w:type="dxa"/>
          </w:tcPr>
          <w:p w14:paraId="2DB00104" w14:textId="77777777" w:rsidR="00913F59" w:rsidRPr="00284B41" w:rsidRDefault="00913F59" w:rsidP="00DE3A76">
            <w:pPr>
              <w:jc w:val="center"/>
            </w:pPr>
            <w:r w:rsidRPr="00284B41">
              <w:t>10</w:t>
            </w:r>
          </w:p>
        </w:tc>
        <w:tc>
          <w:tcPr>
            <w:tcW w:w="1710" w:type="dxa"/>
          </w:tcPr>
          <w:p w14:paraId="5423B9BD" w14:textId="77777777" w:rsidR="00913F59" w:rsidRPr="00284B41" w:rsidRDefault="00913F59" w:rsidP="00DE3A76">
            <w:pPr>
              <w:jc w:val="center"/>
            </w:pPr>
            <w:r w:rsidRPr="00284B41">
              <w:t>20</w:t>
            </w:r>
          </w:p>
        </w:tc>
        <w:tc>
          <w:tcPr>
            <w:tcW w:w="1350" w:type="dxa"/>
          </w:tcPr>
          <w:p w14:paraId="799965D8" w14:textId="77777777" w:rsidR="00913F59" w:rsidRPr="00284B41" w:rsidRDefault="00913F59" w:rsidP="00DE3A76">
            <w:pPr>
              <w:jc w:val="center"/>
            </w:pPr>
            <w:r w:rsidRPr="00284B41">
              <w:t>7.0</w:t>
            </w:r>
          </w:p>
        </w:tc>
        <w:tc>
          <w:tcPr>
            <w:tcW w:w="1535" w:type="dxa"/>
          </w:tcPr>
          <w:p w14:paraId="0CE4F5AD" w14:textId="77777777" w:rsidR="00913F59" w:rsidRPr="00284B41" w:rsidRDefault="00913F59" w:rsidP="00DE3A76">
            <w:pPr>
              <w:jc w:val="center"/>
            </w:pPr>
            <w:r w:rsidRPr="00284B41">
              <w:t>9.0-10.0</w:t>
            </w:r>
          </w:p>
        </w:tc>
      </w:tr>
      <w:tr w:rsidR="00913F59" w:rsidRPr="00284B41" w14:paraId="19BAF2B2" w14:textId="77777777" w:rsidTr="00DE3A76">
        <w:trPr>
          <w:jc w:val="center"/>
        </w:trPr>
        <w:tc>
          <w:tcPr>
            <w:tcW w:w="895" w:type="dxa"/>
          </w:tcPr>
          <w:p w14:paraId="26224EDD" w14:textId="77777777" w:rsidR="00913F59" w:rsidRPr="00284B41" w:rsidRDefault="00913F59" w:rsidP="00DE3A76">
            <w:pPr>
              <w:jc w:val="center"/>
            </w:pPr>
            <w:r w:rsidRPr="00284B41">
              <w:t>6</w:t>
            </w:r>
          </w:p>
        </w:tc>
        <w:tc>
          <w:tcPr>
            <w:tcW w:w="990" w:type="dxa"/>
          </w:tcPr>
          <w:p w14:paraId="0D38339A" w14:textId="77777777" w:rsidR="00913F59" w:rsidRPr="00284B41" w:rsidRDefault="00913F59" w:rsidP="00DE3A76">
            <w:pPr>
              <w:jc w:val="center"/>
            </w:pPr>
            <w:r w:rsidRPr="00284B41">
              <w:t>13.2</w:t>
            </w:r>
          </w:p>
        </w:tc>
        <w:tc>
          <w:tcPr>
            <w:tcW w:w="1260" w:type="dxa"/>
          </w:tcPr>
          <w:p w14:paraId="40206114" w14:textId="77777777" w:rsidR="00913F59" w:rsidRPr="00284B41" w:rsidRDefault="00913F59" w:rsidP="00DE3A76">
            <w:pPr>
              <w:jc w:val="center"/>
            </w:pPr>
            <w:r w:rsidRPr="00284B41">
              <w:t>480</w:t>
            </w:r>
          </w:p>
        </w:tc>
        <w:tc>
          <w:tcPr>
            <w:tcW w:w="1620" w:type="dxa"/>
          </w:tcPr>
          <w:p w14:paraId="353916B4" w14:textId="77777777" w:rsidR="00913F59" w:rsidRPr="00284B41" w:rsidRDefault="00913F59" w:rsidP="00DE3A76">
            <w:pPr>
              <w:jc w:val="center"/>
            </w:pPr>
            <w:r w:rsidRPr="00284B41">
              <w:t>12</w:t>
            </w:r>
          </w:p>
        </w:tc>
        <w:tc>
          <w:tcPr>
            <w:tcW w:w="1710" w:type="dxa"/>
          </w:tcPr>
          <w:p w14:paraId="6A28DA72" w14:textId="77777777" w:rsidR="00913F59" w:rsidRPr="00284B41" w:rsidRDefault="00913F59" w:rsidP="00DE3A76">
            <w:pPr>
              <w:jc w:val="center"/>
            </w:pPr>
            <w:r w:rsidRPr="00284B41">
              <w:t>24</w:t>
            </w:r>
          </w:p>
        </w:tc>
        <w:tc>
          <w:tcPr>
            <w:tcW w:w="1350" w:type="dxa"/>
          </w:tcPr>
          <w:p w14:paraId="3C512633" w14:textId="77777777" w:rsidR="00913F59" w:rsidRPr="00284B41" w:rsidRDefault="00913F59" w:rsidP="00DE3A76">
            <w:pPr>
              <w:jc w:val="center"/>
            </w:pPr>
            <w:r w:rsidRPr="00284B41">
              <w:t>7.0</w:t>
            </w:r>
          </w:p>
        </w:tc>
        <w:tc>
          <w:tcPr>
            <w:tcW w:w="1535" w:type="dxa"/>
          </w:tcPr>
          <w:p w14:paraId="103343C1" w14:textId="77777777" w:rsidR="00913F59" w:rsidRPr="00284B41" w:rsidRDefault="00913F59" w:rsidP="00DE3A76">
            <w:pPr>
              <w:jc w:val="center"/>
            </w:pPr>
            <w:r w:rsidRPr="00284B41">
              <w:t>9.0-10.0</w:t>
            </w:r>
          </w:p>
        </w:tc>
      </w:tr>
      <w:tr w:rsidR="00913F59" w:rsidRPr="00284B41" w14:paraId="6D4F93E6" w14:textId="77777777" w:rsidTr="00DE3A76">
        <w:trPr>
          <w:jc w:val="center"/>
        </w:trPr>
        <w:tc>
          <w:tcPr>
            <w:tcW w:w="895" w:type="dxa"/>
          </w:tcPr>
          <w:p w14:paraId="33FD5741" w14:textId="77777777" w:rsidR="00913F59" w:rsidRPr="00284B41" w:rsidRDefault="00913F59" w:rsidP="00DE3A76">
            <w:pPr>
              <w:jc w:val="center"/>
            </w:pPr>
            <w:r w:rsidRPr="00284B41">
              <w:t>7</w:t>
            </w:r>
          </w:p>
        </w:tc>
        <w:tc>
          <w:tcPr>
            <w:tcW w:w="990" w:type="dxa"/>
          </w:tcPr>
          <w:p w14:paraId="1909221F" w14:textId="77777777" w:rsidR="00913F59" w:rsidRPr="00284B41" w:rsidRDefault="00913F59" w:rsidP="00DE3A76">
            <w:pPr>
              <w:jc w:val="center"/>
            </w:pPr>
            <w:r w:rsidRPr="00284B41">
              <w:t>15.4</w:t>
            </w:r>
          </w:p>
        </w:tc>
        <w:tc>
          <w:tcPr>
            <w:tcW w:w="1260" w:type="dxa"/>
          </w:tcPr>
          <w:p w14:paraId="0E6EBA02" w14:textId="77777777" w:rsidR="00913F59" w:rsidRPr="00284B41" w:rsidRDefault="00913F59" w:rsidP="00DE3A76">
            <w:pPr>
              <w:jc w:val="center"/>
            </w:pPr>
            <w:r w:rsidRPr="00284B41">
              <w:t>560</w:t>
            </w:r>
          </w:p>
        </w:tc>
        <w:tc>
          <w:tcPr>
            <w:tcW w:w="1620" w:type="dxa"/>
          </w:tcPr>
          <w:p w14:paraId="48E2A1CA" w14:textId="77777777" w:rsidR="00913F59" w:rsidRPr="00284B41" w:rsidRDefault="00913F59" w:rsidP="00DE3A76">
            <w:pPr>
              <w:jc w:val="center"/>
            </w:pPr>
            <w:r w:rsidRPr="00284B41">
              <w:t>14</w:t>
            </w:r>
          </w:p>
        </w:tc>
        <w:tc>
          <w:tcPr>
            <w:tcW w:w="1710" w:type="dxa"/>
          </w:tcPr>
          <w:p w14:paraId="39658BAA" w14:textId="77777777" w:rsidR="00913F59" w:rsidRPr="00284B41" w:rsidRDefault="00913F59" w:rsidP="00DE3A76">
            <w:pPr>
              <w:jc w:val="center"/>
            </w:pPr>
            <w:r w:rsidRPr="00284B41">
              <w:t>28</w:t>
            </w:r>
          </w:p>
        </w:tc>
        <w:tc>
          <w:tcPr>
            <w:tcW w:w="1350" w:type="dxa"/>
          </w:tcPr>
          <w:p w14:paraId="07ABC4F7" w14:textId="77777777" w:rsidR="00913F59" w:rsidRPr="00284B41" w:rsidRDefault="00913F59" w:rsidP="00DE3A76">
            <w:pPr>
              <w:jc w:val="center"/>
            </w:pPr>
            <w:r w:rsidRPr="00284B41">
              <w:t>7.0</w:t>
            </w:r>
          </w:p>
        </w:tc>
        <w:tc>
          <w:tcPr>
            <w:tcW w:w="1535" w:type="dxa"/>
          </w:tcPr>
          <w:p w14:paraId="63AFE0CA" w14:textId="77777777" w:rsidR="00913F59" w:rsidRPr="00284B41" w:rsidRDefault="00913F59" w:rsidP="00DE3A76">
            <w:pPr>
              <w:jc w:val="center"/>
            </w:pPr>
            <w:r w:rsidRPr="00284B41">
              <w:t>9.0-10.0</w:t>
            </w:r>
          </w:p>
        </w:tc>
      </w:tr>
      <w:tr w:rsidR="00913F59" w:rsidRPr="00284B41" w14:paraId="1C86FFA8" w14:textId="77777777" w:rsidTr="00DE3A76">
        <w:trPr>
          <w:jc w:val="center"/>
        </w:trPr>
        <w:tc>
          <w:tcPr>
            <w:tcW w:w="895" w:type="dxa"/>
          </w:tcPr>
          <w:p w14:paraId="20E9DBB0" w14:textId="77777777" w:rsidR="00913F59" w:rsidRPr="00284B41" w:rsidRDefault="00913F59" w:rsidP="00DE3A76">
            <w:pPr>
              <w:jc w:val="center"/>
            </w:pPr>
            <w:r w:rsidRPr="00284B41">
              <w:t>8</w:t>
            </w:r>
          </w:p>
        </w:tc>
        <w:tc>
          <w:tcPr>
            <w:tcW w:w="990" w:type="dxa"/>
          </w:tcPr>
          <w:p w14:paraId="469DAF9A" w14:textId="77777777" w:rsidR="00913F59" w:rsidRPr="00284B41" w:rsidRDefault="00913F59" w:rsidP="00DE3A76">
            <w:pPr>
              <w:jc w:val="center"/>
            </w:pPr>
            <w:r w:rsidRPr="00284B41">
              <w:t>17.6</w:t>
            </w:r>
          </w:p>
        </w:tc>
        <w:tc>
          <w:tcPr>
            <w:tcW w:w="1260" w:type="dxa"/>
          </w:tcPr>
          <w:p w14:paraId="2A66776C" w14:textId="77777777" w:rsidR="00913F59" w:rsidRPr="00284B41" w:rsidRDefault="00913F59" w:rsidP="00DE3A76">
            <w:pPr>
              <w:jc w:val="center"/>
            </w:pPr>
            <w:r w:rsidRPr="00284B41">
              <w:t>640</w:t>
            </w:r>
          </w:p>
        </w:tc>
        <w:tc>
          <w:tcPr>
            <w:tcW w:w="1620" w:type="dxa"/>
          </w:tcPr>
          <w:p w14:paraId="380020DC" w14:textId="77777777" w:rsidR="00913F59" w:rsidRPr="00284B41" w:rsidRDefault="00913F59" w:rsidP="00DE3A76">
            <w:pPr>
              <w:jc w:val="center"/>
            </w:pPr>
            <w:r w:rsidRPr="00284B41">
              <w:t>16</w:t>
            </w:r>
          </w:p>
        </w:tc>
        <w:tc>
          <w:tcPr>
            <w:tcW w:w="1710" w:type="dxa"/>
          </w:tcPr>
          <w:p w14:paraId="77F95B5B" w14:textId="77777777" w:rsidR="00913F59" w:rsidRPr="00284B41" w:rsidRDefault="00913F59" w:rsidP="00DE3A76">
            <w:pPr>
              <w:jc w:val="center"/>
            </w:pPr>
            <w:r w:rsidRPr="00284B41">
              <w:t>32</w:t>
            </w:r>
          </w:p>
        </w:tc>
        <w:tc>
          <w:tcPr>
            <w:tcW w:w="1350" w:type="dxa"/>
          </w:tcPr>
          <w:p w14:paraId="34329E2E" w14:textId="77777777" w:rsidR="00913F59" w:rsidRPr="00284B41" w:rsidRDefault="00913F59" w:rsidP="00DE3A76">
            <w:pPr>
              <w:jc w:val="center"/>
            </w:pPr>
            <w:r w:rsidRPr="00284B41">
              <w:t>7.0</w:t>
            </w:r>
          </w:p>
        </w:tc>
        <w:tc>
          <w:tcPr>
            <w:tcW w:w="1535" w:type="dxa"/>
          </w:tcPr>
          <w:p w14:paraId="14EB28C0" w14:textId="77777777" w:rsidR="00913F59" w:rsidRPr="00284B41" w:rsidRDefault="00913F59" w:rsidP="00DE3A76">
            <w:pPr>
              <w:jc w:val="center"/>
            </w:pPr>
            <w:r w:rsidRPr="00284B41">
              <w:t>9.0-10.0</w:t>
            </w:r>
          </w:p>
        </w:tc>
      </w:tr>
      <w:tr w:rsidR="00913F59" w:rsidRPr="00284B41" w14:paraId="2E68E66E" w14:textId="77777777" w:rsidTr="00DE3A76">
        <w:trPr>
          <w:jc w:val="center"/>
        </w:trPr>
        <w:tc>
          <w:tcPr>
            <w:tcW w:w="895" w:type="dxa"/>
          </w:tcPr>
          <w:p w14:paraId="020A8276" w14:textId="77777777" w:rsidR="00913F59" w:rsidRPr="00284B41" w:rsidRDefault="00913F59" w:rsidP="00DE3A76">
            <w:pPr>
              <w:jc w:val="center"/>
            </w:pPr>
            <w:r w:rsidRPr="00284B41">
              <w:t>9</w:t>
            </w:r>
          </w:p>
        </w:tc>
        <w:tc>
          <w:tcPr>
            <w:tcW w:w="990" w:type="dxa"/>
          </w:tcPr>
          <w:p w14:paraId="683BA5B5" w14:textId="77777777" w:rsidR="00913F59" w:rsidRPr="00284B41" w:rsidRDefault="00913F59" w:rsidP="00DE3A76">
            <w:pPr>
              <w:jc w:val="center"/>
            </w:pPr>
            <w:r w:rsidRPr="00284B41">
              <w:t>19.8</w:t>
            </w:r>
          </w:p>
        </w:tc>
        <w:tc>
          <w:tcPr>
            <w:tcW w:w="1260" w:type="dxa"/>
          </w:tcPr>
          <w:p w14:paraId="5350FD7A" w14:textId="77777777" w:rsidR="00913F59" w:rsidRPr="00284B41" w:rsidRDefault="00913F59" w:rsidP="00DE3A76">
            <w:pPr>
              <w:jc w:val="center"/>
            </w:pPr>
            <w:r w:rsidRPr="00284B41">
              <w:t>720</w:t>
            </w:r>
          </w:p>
        </w:tc>
        <w:tc>
          <w:tcPr>
            <w:tcW w:w="1620" w:type="dxa"/>
          </w:tcPr>
          <w:p w14:paraId="6519114D" w14:textId="77777777" w:rsidR="00913F59" w:rsidRPr="00284B41" w:rsidRDefault="00913F59" w:rsidP="00DE3A76">
            <w:pPr>
              <w:jc w:val="center"/>
            </w:pPr>
            <w:r w:rsidRPr="00284B41">
              <w:t>18</w:t>
            </w:r>
          </w:p>
        </w:tc>
        <w:tc>
          <w:tcPr>
            <w:tcW w:w="1710" w:type="dxa"/>
          </w:tcPr>
          <w:p w14:paraId="0DB9AAF7" w14:textId="77777777" w:rsidR="00913F59" w:rsidRPr="00284B41" w:rsidRDefault="00913F59" w:rsidP="00DE3A76">
            <w:pPr>
              <w:jc w:val="center"/>
            </w:pPr>
            <w:r w:rsidRPr="00284B41">
              <w:t>36</w:t>
            </w:r>
          </w:p>
        </w:tc>
        <w:tc>
          <w:tcPr>
            <w:tcW w:w="1350" w:type="dxa"/>
          </w:tcPr>
          <w:p w14:paraId="26E0801A" w14:textId="77777777" w:rsidR="00913F59" w:rsidRPr="00284B41" w:rsidRDefault="00913F59" w:rsidP="00DE3A76">
            <w:pPr>
              <w:jc w:val="center"/>
            </w:pPr>
            <w:r w:rsidRPr="00284B41">
              <w:t>7.0</w:t>
            </w:r>
          </w:p>
        </w:tc>
        <w:tc>
          <w:tcPr>
            <w:tcW w:w="1535" w:type="dxa"/>
          </w:tcPr>
          <w:p w14:paraId="0D9F2C08" w14:textId="77777777" w:rsidR="00913F59" w:rsidRPr="00284B41" w:rsidRDefault="00913F59" w:rsidP="00DE3A76">
            <w:pPr>
              <w:jc w:val="center"/>
            </w:pPr>
            <w:r w:rsidRPr="00284B41">
              <w:t>9.0-10.0</w:t>
            </w:r>
          </w:p>
        </w:tc>
      </w:tr>
      <w:tr w:rsidR="00913F59" w:rsidRPr="00284B41" w14:paraId="52AE4D24" w14:textId="77777777" w:rsidTr="00DE3A76">
        <w:trPr>
          <w:jc w:val="center"/>
        </w:trPr>
        <w:tc>
          <w:tcPr>
            <w:tcW w:w="895" w:type="dxa"/>
          </w:tcPr>
          <w:p w14:paraId="095CD44B" w14:textId="77777777" w:rsidR="00913F59" w:rsidRPr="00284B41" w:rsidRDefault="00913F59" w:rsidP="00DE3A76">
            <w:pPr>
              <w:jc w:val="center"/>
            </w:pPr>
            <w:r w:rsidRPr="00284B41">
              <w:t>10</w:t>
            </w:r>
          </w:p>
        </w:tc>
        <w:tc>
          <w:tcPr>
            <w:tcW w:w="990" w:type="dxa"/>
          </w:tcPr>
          <w:p w14:paraId="4948FBEA" w14:textId="77777777" w:rsidR="00913F59" w:rsidRPr="00284B41" w:rsidRDefault="00913F59" w:rsidP="00DE3A76">
            <w:pPr>
              <w:jc w:val="center"/>
            </w:pPr>
            <w:r w:rsidRPr="00284B41">
              <w:t>22</w:t>
            </w:r>
          </w:p>
        </w:tc>
        <w:tc>
          <w:tcPr>
            <w:tcW w:w="1260" w:type="dxa"/>
          </w:tcPr>
          <w:p w14:paraId="0FF52278" w14:textId="77777777" w:rsidR="00913F59" w:rsidRPr="00284B41" w:rsidRDefault="00913F59" w:rsidP="00DE3A76">
            <w:pPr>
              <w:jc w:val="center"/>
            </w:pPr>
            <w:r w:rsidRPr="00284B41">
              <w:t>800</w:t>
            </w:r>
          </w:p>
        </w:tc>
        <w:tc>
          <w:tcPr>
            <w:tcW w:w="1620" w:type="dxa"/>
          </w:tcPr>
          <w:p w14:paraId="4A37FCA2" w14:textId="77777777" w:rsidR="00913F59" w:rsidRPr="00284B41" w:rsidRDefault="00913F59" w:rsidP="00DE3A76">
            <w:pPr>
              <w:jc w:val="center"/>
            </w:pPr>
            <w:r w:rsidRPr="00284B41">
              <w:t>20</w:t>
            </w:r>
          </w:p>
        </w:tc>
        <w:tc>
          <w:tcPr>
            <w:tcW w:w="1710" w:type="dxa"/>
          </w:tcPr>
          <w:p w14:paraId="60E39EAD" w14:textId="77777777" w:rsidR="00913F59" w:rsidRPr="00284B41" w:rsidRDefault="00913F59" w:rsidP="00DE3A76">
            <w:pPr>
              <w:jc w:val="center"/>
            </w:pPr>
            <w:r w:rsidRPr="00284B41">
              <w:t>40</w:t>
            </w:r>
          </w:p>
        </w:tc>
        <w:tc>
          <w:tcPr>
            <w:tcW w:w="1350" w:type="dxa"/>
          </w:tcPr>
          <w:p w14:paraId="174B4C29" w14:textId="77777777" w:rsidR="00913F59" w:rsidRPr="00284B41" w:rsidRDefault="00913F59" w:rsidP="00DE3A76">
            <w:pPr>
              <w:jc w:val="center"/>
            </w:pPr>
            <w:r w:rsidRPr="00284B41">
              <w:t>7.0</w:t>
            </w:r>
          </w:p>
        </w:tc>
        <w:tc>
          <w:tcPr>
            <w:tcW w:w="1535" w:type="dxa"/>
          </w:tcPr>
          <w:p w14:paraId="3EB5774B" w14:textId="77777777" w:rsidR="00913F59" w:rsidRPr="00284B41" w:rsidRDefault="00913F59" w:rsidP="00DE3A76">
            <w:pPr>
              <w:jc w:val="center"/>
            </w:pPr>
            <w:r w:rsidRPr="00284B41">
              <w:t>9.0-10.0</w:t>
            </w:r>
          </w:p>
        </w:tc>
      </w:tr>
      <w:tr w:rsidR="00913F59" w:rsidRPr="00284B41" w14:paraId="60346FB2" w14:textId="77777777" w:rsidTr="00DE3A76">
        <w:trPr>
          <w:jc w:val="center"/>
        </w:trPr>
        <w:tc>
          <w:tcPr>
            <w:tcW w:w="895" w:type="dxa"/>
          </w:tcPr>
          <w:p w14:paraId="03D23034" w14:textId="77777777" w:rsidR="00913F59" w:rsidRPr="00284B41" w:rsidRDefault="00913F59" w:rsidP="00DE3A76">
            <w:pPr>
              <w:jc w:val="center"/>
            </w:pPr>
            <w:r w:rsidRPr="00284B41">
              <w:t>11-15</w:t>
            </w:r>
          </w:p>
        </w:tc>
        <w:tc>
          <w:tcPr>
            <w:tcW w:w="990" w:type="dxa"/>
          </w:tcPr>
          <w:p w14:paraId="318FF15D" w14:textId="77777777" w:rsidR="00913F59" w:rsidRPr="00284B41" w:rsidRDefault="00913F59" w:rsidP="00DE3A76">
            <w:pPr>
              <w:jc w:val="center"/>
            </w:pPr>
            <w:r w:rsidRPr="00284B41">
              <w:t>24-33</w:t>
            </w:r>
          </w:p>
        </w:tc>
        <w:tc>
          <w:tcPr>
            <w:tcW w:w="1260" w:type="dxa"/>
          </w:tcPr>
          <w:p w14:paraId="7A2B58A5" w14:textId="77777777" w:rsidR="00913F59" w:rsidRPr="00284B41" w:rsidRDefault="00913F59" w:rsidP="00DE3A76">
            <w:pPr>
              <w:jc w:val="center"/>
            </w:pPr>
            <w:r w:rsidRPr="00284B41">
              <w:t>880-1200</w:t>
            </w:r>
          </w:p>
        </w:tc>
        <w:tc>
          <w:tcPr>
            <w:tcW w:w="1620" w:type="dxa"/>
          </w:tcPr>
          <w:p w14:paraId="6BF4A64D" w14:textId="77777777" w:rsidR="00913F59" w:rsidRPr="00284B41" w:rsidRDefault="00913F59" w:rsidP="00DE3A76">
            <w:pPr>
              <w:jc w:val="center"/>
            </w:pPr>
            <w:r w:rsidRPr="00284B41">
              <w:t>22-30</w:t>
            </w:r>
          </w:p>
        </w:tc>
        <w:tc>
          <w:tcPr>
            <w:tcW w:w="1710" w:type="dxa"/>
          </w:tcPr>
          <w:p w14:paraId="239CDBA0" w14:textId="77777777" w:rsidR="00913F59" w:rsidRPr="00284B41" w:rsidRDefault="00913F59" w:rsidP="00DE3A76">
            <w:pPr>
              <w:jc w:val="center"/>
            </w:pPr>
            <w:r w:rsidRPr="00284B41">
              <w:t>44-60</w:t>
            </w:r>
          </w:p>
        </w:tc>
        <w:tc>
          <w:tcPr>
            <w:tcW w:w="1350" w:type="dxa"/>
          </w:tcPr>
          <w:p w14:paraId="53A24225" w14:textId="77777777" w:rsidR="00913F59" w:rsidRPr="00284B41" w:rsidRDefault="00913F59" w:rsidP="00DE3A76">
            <w:pPr>
              <w:jc w:val="center"/>
            </w:pPr>
            <w:r w:rsidRPr="00284B41">
              <w:t>7.0</w:t>
            </w:r>
          </w:p>
        </w:tc>
        <w:tc>
          <w:tcPr>
            <w:tcW w:w="1535" w:type="dxa"/>
          </w:tcPr>
          <w:p w14:paraId="12D0680D" w14:textId="77777777" w:rsidR="00913F59" w:rsidRPr="00284B41" w:rsidRDefault="00913F59" w:rsidP="00DE3A76">
            <w:pPr>
              <w:jc w:val="center"/>
            </w:pPr>
            <w:r w:rsidRPr="00284B41">
              <w:t>9.0-10.0</w:t>
            </w:r>
          </w:p>
        </w:tc>
      </w:tr>
      <w:tr w:rsidR="00913F59" w:rsidRPr="00284B41" w14:paraId="6C8BC21B" w14:textId="77777777" w:rsidTr="00DE3A76">
        <w:trPr>
          <w:jc w:val="center"/>
        </w:trPr>
        <w:tc>
          <w:tcPr>
            <w:tcW w:w="895" w:type="dxa"/>
          </w:tcPr>
          <w:p w14:paraId="56ADE99D" w14:textId="77777777" w:rsidR="00913F59" w:rsidRPr="00284B41" w:rsidRDefault="00913F59" w:rsidP="00DE3A76">
            <w:pPr>
              <w:jc w:val="center"/>
            </w:pPr>
            <w:r w:rsidRPr="00284B41">
              <w:t>16-20</w:t>
            </w:r>
          </w:p>
        </w:tc>
        <w:tc>
          <w:tcPr>
            <w:tcW w:w="990" w:type="dxa"/>
          </w:tcPr>
          <w:p w14:paraId="68E7FFBA" w14:textId="77777777" w:rsidR="00913F59" w:rsidRPr="00284B41" w:rsidRDefault="00913F59" w:rsidP="00DE3A76">
            <w:pPr>
              <w:jc w:val="center"/>
            </w:pPr>
            <w:r w:rsidRPr="00284B41">
              <w:t>35-44</w:t>
            </w:r>
          </w:p>
        </w:tc>
        <w:tc>
          <w:tcPr>
            <w:tcW w:w="1260" w:type="dxa"/>
          </w:tcPr>
          <w:p w14:paraId="274A7EA7" w14:textId="77777777" w:rsidR="00913F59" w:rsidRPr="00284B41" w:rsidRDefault="00913F59" w:rsidP="00DE3A76">
            <w:pPr>
              <w:jc w:val="center"/>
            </w:pPr>
            <w:r w:rsidRPr="00284B41">
              <w:t>1280-1600</w:t>
            </w:r>
          </w:p>
        </w:tc>
        <w:tc>
          <w:tcPr>
            <w:tcW w:w="1620" w:type="dxa"/>
          </w:tcPr>
          <w:p w14:paraId="6FE99EB6" w14:textId="77777777" w:rsidR="00913F59" w:rsidRPr="00284B41" w:rsidRDefault="00913F59" w:rsidP="00DE3A76">
            <w:pPr>
              <w:jc w:val="center"/>
            </w:pPr>
            <w:r w:rsidRPr="00284B41">
              <w:t>32-40</w:t>
            </w:r>
          </w:p>
        </w:tc>
        <w:tc>
          <w:tcPr>
            <w:tcW w:w="1710" w:type="dxa"/>
          </w:tcPr>
          <w:p w14:paraId="707AA858" w14:textId="77777777" w:rsidR="00913F59" w:rsidRPr="00284B41" w:rsidRDefault="00913F59" w:rsidP="00DE3A76">
            <w:pPr>
              <w:jc w:val="center"/>
            </w:pPr>
            <w:r w:rsidRPr="00284B41">
              <w:t>64-80</w:t>
            </w:r>
          </w:p>
        </w:tc>
        <w:tc>
          <w:tcPr>
            <w:tcW w:w="1350" w:type="dxa"/>
          </w:tcPr>
          <w:p w14:paraId="2C993E77" w14:textId="77777777" w:rsidR="00913F59" w:rsidRPr="00284B41" w:rsidRDefault="00913F59" w:rsidP="00DE3A76">
            <w:pPr>
              <w:jc w:val="center"/>
            </w:pPr>
            <w:r w:rsidRPr="00284B41">
              <w:t>7.0</w:t>
            </w:r>
          </w:p>
        </w:tc>
        <w:tc>
          <w:tcPr>
            <w:tcW w:w="1535" w:type="dxa"/>
          </w:tcPr>
          <w:p w14:paraId="0DFE36DF" w14:textId="77777777" w:rsidR="00913F59" w:rsidRPr="00284B41" w:rsidRDefault="00913F59" w:rsidP="00DE3A76">
            <w:pPr>
              <w:jc w:val="center"/>
            </w:pPr>
            <w:r w:rsidRPr="00284B41">
              <w:t>9.0-10.0</w:t>
            </w:r>
          </w:p>
        </w:tc>
      </w:tr>
      <w:tr w:rsidR="00913F59" w:rsidRPr="00284B41" w14:paraId="61B6DA07" w14:textId="77777777" w:rsidTr="00DE3A76">
        <w:trPr>
          <w:jc w:val="center"/>
        </w:trPr>
        <w:tc>
          <w:tcPr>
            <w:tcW w:w="895" w:type="dxa"/>
          </w:tcPr>
          <w:p w14:paraId="48A26F62" w14:textId="77777777" w:rsidR="00913F59" w:rsidRPr="00284B41" w:rsidRDefault="00913F59" w:rsidP="00DE3A76">
            <w:pPr>
              <w:jc w:val="center"/>
            </w:pPr>
            <w:r w:rsidRPr="00284B41">
              <w:t>21-25</w:t>
            </w:r>
          </w:p>
        </w:tc>
        <w:tc>
          <w:tcPr>
            <w:tcW w:w="990" w:type="dxa"/>
          </w:tcPr>
          <w:p w14:paraId="1A97D9E5" w14:textId="77777777" w:rsidR="00913F59" w:rsidRPr="00284B41" w:rsidRDefault="00913F59" w:rsidP="00DE3A76">
            <w:pPr>
              <w:jc w:val="center"/>
            </w:pPr>
            <w:r w:rsidRPr="00284B41">
              <w:t>46-55</w:t>
            </w:r>
          </w:p>
        </w:tc>
        <w:tc>
          <w:tcPr>
            <w:tcW w:w="1260" w:type="dxa"/>
          </w:tcPr>
          <w:p w14:paraId="4E8EF11E" w14:textId="77777777" w:rsidR="00913F59" w:rsidRPr="00284B41" w:rsidRDefault="00913F59" w:rsidP="00DE3A76">
            <w:pPr>
              <w:jc w:val="center"/>
            </w:pPr>
            <w:r w:rsidRPr="00284B41">
              <w:t>1680-2000</w:t>
            </w:r>
          </w:p>
        </w:tc>
        <w:tc>
          <w:tcPr>
            <w:tcW w:w="1620" w:type="dxa"/>
          </w:tcPr>
          <w:p w14:paraId="5CC4FE50" w14:textId="77777777" w:rsidR="00913F59" w:rsidRPr="00284B41" w:rsidRDefault="00913F59" w:rsidP="00DE3A76">
            <w:pPr>
              <w:jc w:val="center"/>
            </w:pPr>
            <w:r w:rsidRPr="00284B41">
              <w:t>42-50</w:t>
            </w:r>
          </w:p>
        </w:tc>
        <w:tc>
          <w:tcPr>
            <w:tcW w:w="1710" w:type="dxa"/>
          </w:tcPr>
          <w:p w14:paraId="0C5D2AEB" w14:textId="77777777" w:rsidR="00913F59" w:rsidRPr="00284B41" w:rsidRDefault="00913F59" w:rsidP="00DE3A76">
            <w:pPr>
              <w:jc w:val="center"/>
            </w:pPr>
            <w:r w:rsidRPr="00284B41">
              <w:t>64-100</w:t>
            </w:r>
          </w:p>
        </w:tc>
        <w:tc>
          <w:tcPr>
            <w:tcW w:w="1350" w:type="dxa"/>
          </w:tcPr>
          <w:p w14:paraId="6D442367" w14:textId="77777777" w:rsidR="00913F59" w:rsidRPr="00284B41" w:rsidRDefault="00913F59" w:rsidP="00DE3A76">
            <w:pPr>
              <w:jc w:val="center"/>
            </w:pPr>
            <w:r w:rsidRPr="00284B41">
              <w:t>7.0</w:t>
            </w:r>
          </w:p>
        </w:tc>
        <w:tc>
          <w:tcPr>
            <w:tcW w:w="1535" w:type="dxa"/>
          </w:tcPr>
          <w:p w14:paraId="6A0F22CC" w14:textId="77777777" w:rsidR="00913F59" w:rsidRPr="00284B41" w:rsidRDefault="00913F59" w:rsidP="00DE3A76">
            <w:pPr>
              <w:jc w:val="center"/>
            </w:pPr>
            <w:r w:rsidRPr="00284B41">
              <w:t>9.0-10.0</w:t>
            </w:r>
          </w:p>
        </w:tc>
      </w:tr>
      <w:tr w:rsidR="00913F59" w:rsidRPr="00284B41" w14:paraId="58BDDC11" w14:textId="77777777" w:rsidTr="00DE3A76">
        <w:trPr>
          <w:jc w:val="center"/>
        </w:trPr>
        <w:tc>
          <w:tcPr>
            <w:tcW w:w="895" w:type="dxa"/>
          </w:tcPr>
          <w:p w14:paraId="3ED72A4A" w14:textId="77777777" w:rsidR="00913F59" w:rsidRPr="00284B41" w:rsidRDefault="00913F59" w:rsidP="00DE3A76">
            <w:pPr>
              <w:jc w:val="center"/>
            </w:pPr>
            <w:r w:rsidRPr="00284B41">
              <w:t>26-30</w:t>
            </w:r>
          </w:p>
        </w:tc>
        <w:tc>
          <w:tcPr>
            <w:tcW w:w="990" w:type="dxa"/>
          </w:tcPr>
          <w:p w14:paraId="5F7E3A5D" w14:textId="77777777" w:rsidR="00913F59" w:rsidRPr="00284B41" w:rsidRDefault="00913F59" w:rsidP="00DE3A76">
            <w:pPr>
              <w:jc w:val="center"/>
            </w:pPr>
            <w:r w:rsidRPr="00284B41">
              <w:t>57-66</w:t>
            </w:r>
          </w:p>
        </w:tc>
        <w:tc>
          <w:tcPr>
            <w:tcW w:w="1260" w:type="dxa"/>
          </w:tcPr>
          <w:p w14:paraId="0891E7B1" w14:textId="77777777" w:rsidR="00913F59" w:rsidRPr="00284B41" w:rsidRDefault="00913F59" w:rsidP="00DE3A76">
            <w:pPr>
              <w:jc w:val="center"/>
            </w:pPr>
            <w:r w:rsidRPr="00284B41">
              <w:t>2080-2400</w:t>
            </w:r>
          </w:p>
        </w:tc>
        <w:tc>
          <w:tcPr>
            <w:tcW w:w="1620" w:type="dxa"/>
          </w:tcPr>
          <w:p w14:paraId="607225F9" w14:textId="77777777" w:rsidR="00913F59" w:rsidRPr="00284B41" w:rsidRDefault="00913F59" w:rsidP="00DE3A76">
            <w:pPr>
              <w:jc w:val="center"/>
            </w:pPr>
            <w:r w:rsidRPr="00284B41">
              <w:t>52-60</w:t>
            </w:r>
          </w:p>
        </w:tc>
        <w:tc>
          <w:tcPr>
            <w:tcW w:w="1710" w:type="dxa"/>
          </w:tcPr>
          <w:p w14:paraId="1627B5E6" w14:textId="77777777" w:rsidR="00913F59" w:rsidRPr="00284B41" w:rsidRDefault="00913F59" w:rsidP="00DE3A76">
            <w:pPr>
              <w:jc w:val="center"/>
            </w:pPr>
            <w:r w:rsidRPr="00284B41">
              <w:t>104-120</w:t>
            </w:r>
          </w:p>
        </w:tc>
        <w:tc>
          <w:tcPr>
            <w:tcW w:w="1350" w:type="dxa"/>
          </w:tcPr>
          <w:p w14:paraId="0C79F660" w14:textId="77777777" w:rsidR="00913F59" w:rsidRPr="00284B41" w:rsidRDefault="00913F59" w:rsidP="00DE3A76">
            <w:pPr>
              <w:jc w:val="center"/>
            </w:pPr>
            <w:r w:rsidRPr="00284B41">
              <w:t>7.0</w:t>
            </w:r>
          </w:p>
        </w:tc>
        <w:tc>
          <w:tcPr>
            <w:tcW w:w="1535" w:type="dxa"/>
          </w:tcPr>
          <w:p w14:paraId="3DED6EBB" w14:textId="77777777" w:rsidR="00913F59" w:rsidRPr="00284B41" w:rsidRDefault="00913F59" w:rsidP="00DE3A76">
            <w:pPr>
              <w:jc w:val="center"/>
            </w:pPr>
            <w:r w:rsidRPr="00284B41">
              <w:t>9.0-10.0</w:t>
            </w:r>
          </w:p>
        </w:tc>
      </w:tr>
      <w:tr w:rsidR="00913F59" w:rsidRPr="00284B41" w14:paraId="376AFD2B" w14:textId="77777777" w:rsidTr="00DE3A76">
        <w:trPr>
          <w:jc w:val="center"/>
        </w:trPr>
        <w:tc>
          <w:tcPr>
            <w:tcW w:w="895" w:type="dxa"/>
          </w:tcPr>
          <w:p w14:paraId="06B053BE" w14:textId="77777777" w:rsidR="00913F59" w:rsidRPr="00284B41" w:rsidRDefault="00913F59" w:rsidP="00DE3A76">
            <w:pPr>
              <w:jc w:val="center"/>
            </w:pPr>
            <w:r w:rsidRPr="00284B41">
              <w:t>31-35</w:t>
            </w:r>
          </w:p>
        </w:tc>
        <w:tc>
          <w:tcPr>
            <w:tcW w:w="990" w:type="dxa"/>
          </w:tcPr>
          <w:p w14:paraId="35895227" w14:textId="77777777" w:rsidR="00913F59" w:rsidRPr="00284B41" w:rsidRDefault="00913F59" w:rsidP="00DE3A76">
            <w:pPr>
              <w:jc w:val="center"/>
            </w:pPr>
            <w:r w:rsidRPr="00284B41">
              <w:t>68-77</w:t>
            </w:r>
          </w:p>
        </w:tc>
        <w:tc>
          <w:tcPr>
            <w:tcW w:w="1260" w:type="dxa"/>
          </w:tcPr>
          <w:p w14:paraId="7021697F" w14:textId="77777777" w:rsidR="00913F59" w:rsidRPr="00284B41" w:rsidRDefault="00913F59" w:rsidP="00DE3A76">
            <w:pPr>
              <w:jc w:val="center"/>
            </w:pPr>
            <w:r w:rsidRPr="00284B41">
              <w:t>2480-2800</w:t>
            </w:r>
          </w:p>
        </w:tc>
        <w:tc>
          <w:tcPr>
            <w:tcW w:w="1620" w:type="dxa"/>
          </w:tcPr>
          <w:p w14:paraId="4CD92A57" w14:textId="77777777" w:rsidR="00913F59" w:rsidRPr="00284B41" w:rsidRDefault="00913F59" w:rsidP="00DE3A76">
            <w:pPr>
              <w:jc w:val="center"/>
            </w:pPr>
            <w:r w:rsidRPr="00284B41">
              <w:t>62-70</w:t>
            </w:r>
          </w:p>
        </w:tc>
        <w:tc>
          <w:tcPr>
            <w:tcW w:w="1710" w:type="dxa"/>
          </w:tcPr>
          <w:p w14:paraId="423A3987" w14:textId="77777777" w:rsidR="00913F59" w:rsidRPr="00284B41" w:rsidRDefault="00913F59" w:rsidP="00DE3A76">
            <w:pPr>
              <w:jc w:val="center"/>
            </w:pPr>
            <w:r w:rsidRPr="00284B41">
              <w:t>124-140</w:t>
            </w:r>
          </w:p>
        </w:tc>
        <w:tc>
          <w:tcPr>
            <w:tcW w:w="1350" w:type="dxa"/>
          </w:tcPr>
          <w:p w14:paraId="4EBDB56D" w14:textId="77777777" w:rsidR="00913F59" w:rsidRPr="00284B41" w:rsidRDefault="00913F59" w:rsidP="00DE3A76">
            <w:pPr>
              <w:jc w:val="center"/>
            </w:pPr>
            <w:r w:rsidRPr="00284B41">
              <w:t>7.0</w:t>
            </w:r>
          </w:p>
        </w:tc>
        <w:tc>
          <w:tcPr>
            <w:tcW w:w="1535" w:type="dxa"/>
          </w:tcPr>
          <w:p w14:paraId="5EE5F814" w14:textId="77777777" w:rsidR="00913F59" w:rsidRPr="00284B41" w:rsidRDefault="00913F59" w:rsidP="00DE3A76">
            <w:pPr>
              <w:jc w:val="center"/>
            </w:pPr>
            <w:r w:rsidRPr="00284B41">
              <w:t>9.0-10.0</w:t>
            </w:r>
          </w:p>
        </w:tc>
      </w:tr>
      <w:tr w:rsidR="00913F59" w:rsidRPr="00284B41" w14:paraId="6D907398" w14:textId="77777777" w:rsidTr="00DE3A76">
        <w:trPr>
          <w:jc w:val="center"/>
        </w:trPr>
        <w:tc>
          <w:tcPr>
            <w:tcW w:w="895" w:type="dxa"/>
          </w:tcPr>
          <w:p w14:paraId="1E7F35A9" w14:textId="77777777" w:rsidR="00913F59" w:rsidRPr="00284B41" w:rsidRDefault="00913F59" w:rsidP="00DE3A76">
            <w:pPr>
              <w:jc w:val="center"/>
            </w:pPr>
            <w:r w:rsidRPr="00284B41">
              <w:t>36-40</w:t>
            </w:r>
          </w:p>
        </w:tc>
        <w:tc>
          <w:tcPr>
            <w:tcW w:w="990" w:type="dxa"/>
          </w:tcPr>
          <w:p w14:paraId="113A6279" w14:textId="77777777" w:rsidR="00913F59" w:rsidRPr="00284B41" w:rsidRDefault="00913F59" w:rsidP="00DE3A76">
            <w:pPr>
              <w:jc w:val="center"/>
            </w:pPr>
            <w:r w:rsidRPr="00284B41">
              <w:t>79-88</w:t>
            </w:r>
          </w:p>
        </w:tc>
        <w:tc>
          <w:tcPr>
            <w:tcW w:w="1260" w:type="dxa"/>
          </w:tcPr>
          <w:p w14:paraId="07E079C7" w14:textId="77777777" w:rsidR="00913F59" w:rsidRPr="00284B41" w:rsidRDefault="00913F59" w:rsidP="00DE3A76">
            <w:pPr>
              <w:jc w:val="center"/>
            </w:pPr>
            <w:r w:rsidRPr="00284B41">
              <w:t>2880-3200</w:t>
            </w:r>
          </w:p>
        </w:tc>
        <w:tc>
          <w:tcPr>
            <w:tcW w:w="1620" w:type="dxa"/>
          </w:tcPr>
          <w:p w14:paraId="49AC7526" w14:textId="77777777" w:rsidR="00913F59" w:rsidRPr="00284B41" w:rsidRDefault="00913F59" w:rsidP="00DE3A76">
            <w:pPr>
              <w:jc w:val="center"/>
            </w:pPr>
            <w:r w:rsidRPr="00284B41">
              <w:t>72-80</w:t>
            </w:r>
          </w:p>
        </w:tc>
        <w:tc>
          <w:tcPr>
            <w:tcW w:w="1710" w:type="dxa"/>
          </w:tcPr>
          <w:p w14:paraId="781712EF" w14:textId="77777777" w:rsidR="00913F59" w:rsidRPr="00284B41" w:rsidRDefault="00913F59" w:rsidP="00DE3A76">
            <w:pPr>
              <w:jc w:val="center"/>
            </w:pPr>
            <w:r w:rsidRPr="00284B41">
              <w:t>144-160</w:t>
            </w:r>
          </w:p>
        </w:tc>
        <w:tc>
          <w:tcPr>
            <w:tcW w:w="1350" w:type="dxa"/>
          </w:tcPr>
          <w:p w14:paraId="283E5CC0" w14:textId="77777777" w:rsidR="00913F59" w:rsidRPr="00284B41" w:rsidRDefault="00913F59" w:rsidP="00DE3A76">
            <w:pPr>
              <w:jc w:val="center"/>
            </w:pPr>
            <w:r w:rsidRPr="00284B41">
              <w:t>7.0</w:t>
            </w:r>
          </w:p>
        </w:tc>
        <w:tc>
          <w:tcPr>
            <w:tcW w:w="1535" w:type="dxa"/>
          </w:tcPr>
          <w:p w14:paraId="7B790A63" w14:textId="77777777" w:rsidR="00913F59" w:rsidRPr="00284B41" w:rsidRDefault="00913F59" w:rsidP="00DE3A76">
            <w:pPr>
              <w:jc w:val="center"/>
            </w:pPr>
            <w:r w:rsidRPr="00284B41">
              <w:t>9.0-10.0</w:t>
            </w:r>
          </w:p>
        </w:tc>
      </w:tr>
      <w:tr w:rsidR="00913F59" w:rsidRPr="00284B41" w14:paraId="7D9B4800" w14:textId="77777777" w:rsidTr="00DE3A76">
        <w:trPr>
          <w:jc w:val="center"/>
        </w:trPr>
        <w:tc>
          <w:tcPr>
            <w:tcW w:w="895" w:type="dxa"/>
          </w:tcPr>
          <w:p w14:paraId="59AF8355" w14:textId="77777777" w:rsidR="00913F59" w:rsidRPr="00284B41" w:rsidRDefault="00913F59" w:rsidP="00DE3A76">
            <w:pPr>
              <w:jc w:val="center"/>
            </w:pPr>
            <w:r w:rsidRPr="00284B41">
              <w:t>41-45</w:t>
            </w:r>
          </w:p>
        </w:tc>
        <w:tc>
          <w:tcPr>
            <w:tcW w:w="990" w:type="dxa"/>
          </w:tcPr>
          <w:p w14:paraId="3D4E2A1F" w14:textId="77777777" w:rsidR="00913F59" w:rsidRPr="00284B41" w:rsidRDefault="00913F59" w:rsidP="00DE3A76">
            <w:pPr>
              <w:jc w:val="center"/>
            </w:pPr>
            <w:r w:rsidRPr="00284B41">
              <w:t>90-99</w:t>
            </w:r>
          </w:p>
        </w:tc>
        <w:tc>
          <w:tcPr>
            <w:tcW w:w="1260" w:type="dxa"/>
          </w:tcPr>
          <w:p w14:paraId="7AB2C3B8" w14:textId="77777777" w:rsidR="00913F59" w:rsidRPr="00284B41" w:rsidRDefault="00913F59" w:rsidP="00DE3A76">
            <w:pPr>
              <w:jc w:val="center"/>
            </w:pPr>
            <w:r w:rsidRPr="00284B41">
              <w:t>3280-3600</w:t>
            </w:r>
          </w:p>
        </w:tc>
        <w:tc>
          <w:tcPr>
            <w:tcW w:w="1620" w:type="dxa"/>
          </w:tcPr>
          <w:p w14:paraId="370B6F97" w14:textId="77777777" w:rsidR="00913F59" w:rsidRPr="00284B41" w:rsidRDefault="00913F59" w:rsidP="00DE3A76">
            <w:pPr>
              <w:jc w:val="center"/>
            </w:pPr>
            <w:r w:rsidRPr="00284B41">
              <w:t>82-90</w:t>
            </w:r>
          </w:p>
        </w:tc>
        <w:tc>
          <w:tcPr>
            <w:tcW w:w="1710" w:type="dxa"/>
          </w:tcPr>
          <w:p w14:paraId="4CC4D689" w14:textId="77777777" w:rsidR="00913F59" w:rsidRPr="00284B41" w:rsidRDefault="00913F59" w:rsidP="00DE3A76">
            <w:pPr>
              <w:jc w:val="center"/>
            </w:pPr>
            <w:r w:rsidRPr="00284B41">
              <w:t>164-180</w:t>
            </w:r>
          </w:p>
        </w:tc>
        <w:tc>
          <w:tcPr>
            <w:tcW w:w="1350" w:type="dxa"/>
          </w:tcPr>
          <w:p w14:paraId="36672814" w14:textId="77777777" w:rsidR="00913F59" w:rsidRPr="00284B41" w:rsidRDefault="00913F59" w:rsidP="00DE3A76">
            <w:pPr>
              <w:jc w:val="center"/>
            </w:pPr>
            <w:r w:rsidRPr="00284B41">
              <w:t>7.0</w:t>
            </w:r>
          </w:p>
        </w:tc>
        <w:tc>
          <w:tcPr>
            <w:tcW w:w="1535" w:type="dxa"/>
          </w:tcPr>
          <w:p w14:paraId="2E7946BB" w14:textId="77777777" w:rsidR="00913F59" w:rsidRPr="00284B41" w:rsidRDefault="00913F59" w:rsidP="00DE3A76">
            <w:pPr>
              <w:jc w:val="center"/>
            </w:pPr>
            <w:r w:rsidRPr="00284B41">
              <w:t>9.0-10.0</w:t>
            </w:r>
          </w:p>
        </w:tc>
      </w:tr>
      <w:tr w:rsidR="00913F59" w:rsidRPr="00284B41" w14:paraId="5FC05C1A" w14:textId="77777777" w:rsidTr="00DE3A76">
        <w:trPr>
          <w:jc w:val="center"/>
        </w:trPr>
        <w:tc>
          <w:tcPr>
            <w:tcW w:w="895" w:type="dxa"/>
          </w:tcPr>
          <w:p w14:paraId="4926208F" w14:textId="77777777" w:rsidR="00913F59" w:rsidRPr="00284B41" w:rsidRDefault="00913F59" w:rsidP="00DE3A76">
            <w:pPr>
              <w:jc w:val="center"/>
            </w:pPr>
            <w:r w:rsidRPr="00284B41">
              <w:t>46-50</w:t>
            </w:r>
          </w:p>
        </w:tc>
        <w:tc>
          <w:tcPr>
            <w:tcW w:w="990" w:type="dxa"/>
          </w:tcPr>
          <w:p w14:paraId="56BBF1D4" w14:textId="77777777" w:rsidR="00913F59" w:rsidRPr="00284B41" w:rsidRDefault="00913F59" w:rsidP="00DE3A76">
            <w:pPr>
              <w:jc w:val="center"/>
            </w:pPr>
            <w:r w:rsidRPr="00284B41">
              <w:t>101-110</w:t>
            </w:r>
          </w:p>
        </w:tc>
        <w:tc>
          <w:tcPr>
            <w:tcW w:w="1260" w:type="dxa"/>
          </w:tcPr>
          <w:p w14:paraId="033930BB" w14:textId="77777777" w:rsidR="00913F59" w:rsidRPr="00284B41" w:rsidRDefault="00913F59" w:rsidP="00DE3A76">
            <w:pPr>
              <w:jc w:val="center"/>
            </w:pPr>
            <w:r w:rsidRPr="00284B41">
              <w:t>3680-4000</w:t>
            </w:r>
          </w:p>
        </w:tc>
        <w:tc>
          <w:tcPr>
            <w:tcW w:w="1620" w:type="dxa"/>
          </w:tcPr>
          <w:p w14:paraId="440F19D3" w14:textId="77777777" w:rsidR="00913F59" w:rsidRPr="00284B41" w:rsidRDefault="00913F59" w:rsidP="00DE3A76">
            <w:pPr>
              <w:jc w:val="center"/>
            </w:pPr>
            <w:r w:rsidRPr="00284B41">
              <w:t>92-100</w:t>
            </w:r>
          </w:p>
        </w:tc>
        <w:tc>
          <w:tcPr>
            <w:tcW w:w="1710" w:type="dxa"/>
          </w:tcPr>
          <w:p w14:paraId="125E8DB9" w14:textId="77777777" w:rsidR="00913F59" w:rsidRPr="00284B41" w:rsidRDefault="00913F59" w:rsidP="00DE3A76">
            <w:pPr>
              <w:jc w:val="center"/>
            </w:pPr>
            <w:r w:rsidRPr="00284B41">
              <w:t>184-200</w:t>
            </w:r>
          </w:p>
        </w:tc>
        <w:tc>
          <w:tcPr>
            <w:tcW w:w="1350" w:type="dxa"/>
          </w:tcPr>
          <w:p w14:paraId="506FA30F" w14:textId="77777777" w:rsidR="00913F59" w:rsidRPr="00284B41" w:rsidRDefault="00913F59" w:rsidP="00DE3A76">
            <w:pPr>
              <w:jc w:val="center"/>
            </w:pPr>
            <w:r w:rsidRPr="00284B41">
              <w:t>7.0</w:t>
            </w:r>
          </w:p>
        </w:tc>
        <w:tc>
          <w:tcPr>
            <w:tcW w:w="1535" w:type="dxa"/>
          </w:tcPr>
          <w:p w14:paraId="65CF60C5" w14:textId="77777777" w:rsidR="00913F59" w:rsidRPr="00284B41" w:rsidRDefault="00913F59" w:rsidP="00DE3A76">
            <w:pPr>
              <w:jc w:val="center"/>
            </w:pPr>
            <w:r w:rsidRPr="00284B41">
              <w:t>9.0-10.0</w:t>
            </w:r>
          </w:p>
        </w:tc>
      </w:tr>
      <w:tr w:rsidR="00913F59" w:rsidRPr="00284B41" w14:paraId="667552B2" w14:textId="77777777" w:rsidTr="00DE3A76">
        <w:trPr>
          <w:jc w:val="center"/>
        </w:trPr>
        <w:tc>
          <w:tcPr>
            <w:tcW w:w="895" w:type="dxa"/>
          </w:tcPr>
          <w:p w14:paraId="719A38EB" w14:textId="77777777" w:rsidR="00913F59" w:rsidRPr="00284B41" w:rsidRDefault="00913F59" w:rsidP="00DE3A76">
            <w:pPr>
              <w:jc w:val="center"/>
            </w:pPr>
            <w:r w:rsidRPr="00284B41">
              <w:t>51-55</w:t>
            </w:r>
          </w:p>
        </w:tc>
        <w:tc>
          <w:tcPr>
            <w:tcW w:w="990" w:type="dxa"/>
          </w:tcPr>
          <w:p w14:paraId="448689A7" w14:textId="77777777" w:rsidR="00913F59" w:rsidRPr="00284B41" w:rsidRDefault="00913F59" w:rsidP="00DE3A76">
            <w:pPr>
              <w:jc w:val="center"/>
            </w:pPr>
            <w:r w:rsidRPr="00284B41">
              <w:t>112-121</w:t>
            </w:r>
          </w:p>
        </w:tc>
        <w:tc>
          <w:tcPr>
            <w:tcW w:w="1260" w:type="dxa"/>
          </w:tcPr>
          <w:p w14:paraId="785BB64A" w14:textId="77777777" w:rsidR="00913F59" w:rsidRPr="00284B41" w:rsidRDefault="00913F59" w:rsidP="00DE3A76">
            <w:pPr>
              <w:jc w:val="center"/>
            </w:pPr>
            <w:r w:rsidRPr="00284B41">
              <w:t>4080-4400</w:t>
            </w:r>
          </w:p>
        </w:tc>
        <w:tc>
          <w:tcPr>
            <w:tcW w:w="1620" w:type="dxa"/>
          </w:tcPr>
          <w:p w14:paraId="716D20ED" w14:textId="77777777" w:rsidR="00913F59" w:rsidRPr="00284B41" w:rsidRDefault="00913F59" w:rsidP="00DE3A76">
            <w:pPr>
              <w:jc w:val="center"/>
            </w:pPr>
            <w:r w:rsidRPr="00284B41">
              <w:t>102-110</w:t>
            </w:r>
          </w:p>
        </w:tc>
        <w:tc>
          <w:tcPr>
            <w:tcW w:w="1710" w:type="dxa"/>
          </w:tcPr>
          <w:p w14:paraId="0295219B" w14:textId="77777777" w:rsidR="00913F59" w:rsidRPr="00284B41" w:rsidRDefault="00913F59" w:rsidP="00DE3A76">
            <w:pPr>
              <w:jc w:val="center"/>
            </w:pPr>
            <w:r w:rsidRPr="00284B41">
              <w:t>204-220</w:t>
            </w:r>
          </w:p>
        </w:tc>
        <w:tc>
          <w:tcPr>
            <w:tcW w:w="1350" w:type="dxa"/>
          </w:tcPr>
          <w:p w14:paraId="2E36F460" w14:textId="77777777" w:rsidR="00913F59" w:rsidRPr="00284B41" w:rsidRDefault="00913F59" w:rsidP="00DE3A76">
            <w:pPr>
              <w:jc w:val="center"/>
            </w:pPr>
            <w:r w:rsidRPr="00284B41">
              <w:t>7.0</w:t>
            </w:r>
          </w:p>
        </w:tc>
        <w:tc>
          <w:tcPr>
            <w:tcW w:w="1535" w:type="dxa"/>
          </w:tcPr>
          <w:p w14:paraId="0D49E225" w14:textId="77777777" w:rsidR="00913F59" w:rsidRPr="00284B41" w:rsidRDefault="00913F59" w:rsidP="00DE3A76">
            <w:pPr>
              <w:jc w:val="center"/>
            </w:pPr>
            <w:r w:rsidRPr="00284B41">
              <w:t>9.0-10.0</w:t>
            </w:r>
          </w:p>
        </w:tc>
      </w:tr>
      <w:tr w:rsidR="00913F59" w:rsidRPr="00284B41" w14:paraId="47B8E0E3" w14:textId="77777777" w:rsidTr="00DE3A76">
        <w:trPr>
          <w:jc w:val="center"/>
        </w:trPr>
        <w:tc>
          <w:tcPr>
            <w:tcW w:w="895" w:type="dxa"/>
          </w:tcPr>
          <w:p w14:paraId="3DF26BC7" w14:textId="77777777" w:rsidR="00913F59" w:rsidRPr="00284B41" w:rsidRDefault="00913F59" w:rsidP="00DE3A76">
            <w:pPr>
              <w:jc w:val="center"/>
            </w:pPr>
            <w:r w:rsidRPr="00284B41">
              <w:t>56-60</w:t>
            </w:r>
          </w:p>
        </w:tc>
        <w:tc>
          <w:tcPr>
            <w:tcW w:w="990" w:type="dxa"/>
          </w:tcPr>
          <w:p w14:paraId="181D8777" w14:textId="77777777" w:rsidR="00913F59" w:rsidRPr="00284B41" w:rsidRDefault="00913F59" w:rsidP="00DE3A76">
            <w:pPr>
              <w:jc w:val="center"/>
            </w:pPr>
            <w:r w:rsidRPr="00284B41">
              <w:t>123-132</w:t>
            </w:r>
          </w:p>
        </w:tc>
        <w:tc>
          <w:tcPr>
            <w:tcW w:w="1260" w:type="dxa"/>
          </w:tcPr>
          <w:p w14:paraId="3FE28F5C" w14:textId="77777777" w:rsidR="00913F59" w:rsidRPr="00284B41" w:rsidRDefault="00913F59" w:rsidP="00DE3A76">
            <w:pPr>
              <w:jc w:val="center"/>
            </w:pPr>
            <w:r w:rsidRPr="00284B41">
              <w:t>4480-4800</w:t>
            </w:r>
          </w:p>
        </w:tc>
        <w:tc>
          <w:tcPr>
            <w:tcW w:w="1620" w:type="dxa"/>
          </w:tcPr>
          <w:p w14:paraId="71A29FED" w14:textId="77777777" w:rsidR="00913F59" w:rsidRPr="00284B41" w:rsidRDefault="00913F59" w:rsidP="00DE3A76">
            <w:pPr>
              <w:jc w:val="center"/>
            </w:pPr>
            <w:r w:rsidRPr="00284B41">
              <w:t>112-120</w:t>
            </w:r>
          </w:p>
        </w:tc>
        <w:tc>
          <w:tcPr>
            <w:tcW w:w="1710" w:type="dxa"/>
          </w:tcPr>
          <w:p w14:paraId="06DE2955" w14:textId="77777777" w:rsidR="00913F59" w:rsidRPr="00284B41" w:rsidRDefault="00913F59" w:rsidP="00DE3A76">
            <w:pPr>
              <w:jc w:val="center"/>
            </w:pPr>
            <w:r w:rsidRPr="00284B41">
              <w:t>224-240</w:t>
            </w:r>
          </w:p>
        </w:tc>
        <w:tc>
          <w:tcPr>
            <w:tcW w:w="1350" w:type="dxa"/>
          </w:tcPr>
          <w:p w14:paraId="13E45A74" w14:textId="77777777" w:rsidR="00913F59" w:rsidRPr="00284B41" w:rsidRDefault="00913F59" w:rsidP="00DE3A76">
            <w:pPr>
              <w:jc w:val="center"/>
            </w:pPr>
            <w:r w:rsidRPr="00284B41">
              <w:t>7.0</w:t>
            </w:r>
          </w:p>
        </w:tc>
        <w:tc>
          <w:tcPr>
            <w:tcW w:w="1535" w:type="dxa"/>
          </w:tcPr>
          <w:p w14:paraId="3A6ECCF0" w14:textId="77777777" w:rsidR="00913F59" w:rsidRPr="00284B41" w:rsidRDefault="00913F59" w:rsidP="00DE3A76">
            <w:pPr>
              <w:jc w:val="center"/>
            </w:pPr>
            <w:r w:rsidRPr="00284B41">
              <w:t>9.0-10.0</w:t>
            </w:r>
          </w:p>
        </w:tc>
      </w:tr>
      <w:tr w:rsidR="00913F59" w:rsidRPr="00284B41" w14:paraId="66FB5294" w14:textId="77777777" w:rsidTr="00DE3A76">
        <w:trPr>
          <w:jc w:val="center"/>
        </w:trPr>
        <w:tc>
          <w:tcPr>
            <w:tcW w:w="895" w:type="dxa"/>
          </w:tcPr>
          <w:p w14:paraId="1A984C2B" w14:textId="77777777" w:rsidR="00913F59" w:rsidRPr="00284B41" w:rsidRDefault="00913F59" w:rsidP="00DE3A76">
            <w:pPr>
              <w:jc w:val="center"/>
            </w:pPr>
            <w:r w:rsidRPr="00284B41">
              <w:t>61-65</w:t>
            </w:r>
          </w:p>
        </w:tc>
        <w:tc>
          <w:tcPr>
            <w:tcW w:w="990" w:type="dxa"/>
          </w:tcPr>
          <w:p w14:paraId="5FAED015" w14:textId="77777777" w:rsidR="00913F59" w:rsidRPr="00284B41" w:rsidRDefault="00913F59" w:rsidP="00DE3A76">
            <w:pPr>
              <w:jc w:val="center"/>
            </w:pPr>
            <w:r w:rsidRPr="00284B41">
              <w:t>134-143</w:t>
            </w:r>
          </w:p>
        </w:tc>
        <w:tc>
          <w:tcPr>
            <w:tcW w:w="1260" w:type="dxa"/>
          </w:tcPr>
          <w:p w14:paraId="507193E3" w14:textId="77777777" w:rsidR="00913F59" w:rsidRPr="00284B41" w:rsidRDefault="00913F59" w:rsidP="00DE3A76">
            <w:pPr>
              <w:jc w:val="center"/>
            </w:pPr>
            <w:r w:rsidRPr="00284B41">
              <w:t>4880-5200</w:t>
            </w:r>
          </w:p>
        </w:tc>
        <w:tc>
          <w:tcPr>
            <w:tcW w:w="1620" w:type="dxa"/>
          </w:tcPr>
          <w:p w14:paraId="304358A3" w14:textId="77777777" w:rsidR="00913F59" w:rsidRPr="00284B41" w:rsidRDefault="00913F59" w:rsidP="00DE3A76">
            <w:pPr>
              <w:jc w:val="center"/>
            </w:pPr>
            <w:r w:rsidRPr="00284B41">
              <w:t>122-130</w:t>
            </w:r>
          </w:p>
        </w:tc>
        <w:tc>
          <w:tcPr>
            <w:tcW w:w="1710" w:type="dxa"/>
          </w:tcPr>
          <w:p w14:paraId="22AC31A5" w14:textId="77777777" w:rsidR="00913F59" w:rsidRPr="00284B41" w:rsidRDefault="00913F59" w:rsidP="00DE3A76">
            <w:pPr>
              <w:jc w:val="center"/>
            </w:pPr>
            <w:r w:rsidRPr="00284B41">
              <w:t>244-260</w:t>
            </w:r>
          </w:p>
        </w:tc>
        <w:tc>
          <w:tcPr>
            <w:tcW w:w="1350" w:type="dxa"/>
          </w:tcPr>
          <w:p w14:paraId="42F944E8" w14:textId="77777777" w:rsidR="00913F59" w:rsidRPr="00284B41" w:rsidRDefault="00913F59" w:rsidP="00DE3A76">
            <w:pPr>
              <w:jc w:val="center"/>
            </w:pPr>
            <w:r w:rsidRPr="00284B41">
              <w:t>7.0</w:t>
            </w:r>
          </w:p>
        </w:tc>
        <w:tc>
          <w:tcPr>
            <w:tcW w:w="1535" w:type="dxa"/>
          </w:tcPr>
          <w:p w14:paraId="6FD55A6F" w14:textId="77777777" w:rsidR="00913F59" w:rsidRPr="00284B41" w:rsidRDefault="00913F59" w:rsidP="00DE3A76">
            <w:pPr>
              <w:jc w:val="center"/>
            </w:pPr>
            <w:r w:rsidRPr="00284B41">
              <w:t>9.0-10.0</w:t>
            </w:r>
          </w:p>
        </w:tc>
      </w:tr>
      <w:tr w:rsidR="00913F59" w:rsidRPr="00284B41" w14:paraId="4EFC2B81" w14:textId="77777777" w:rsidTr="00DE3A76">
        <w:trPr>
          <w:jc w:val="center"/>
        </w:trPr>
        <w:tc>
          <w:tcPr>
            <w:tcW w:w="895" w:type="dxa"/>
          </w:tcPr>
          <w:p w14:paraId="529BD427" w14:textId="77777777" w:rsidR="00913F59" w:rsidRPr="00284B41" w:rsidRDefault="00913F59" w:rsidP="00DE3A76">
            <w:pPr>
              <w:jc w:val="center"/>
            </w:pPr>
            <w:r w:rsidRPr="00284B41">
              <w:t>68-70</w:t>
            </w:r>
          </w:p>
        </w:tc>
        <w:tc>
          <w:tcPr>
            <w:tcW w:w="990" w:type="dxa"/>
          </w:tcPr>
          <w:p w14:paraId="3F26B495" w14:textId="77777777" w:rsidR="00913F59" w:rsidRPr="00284B41" w:rsidRDefault="00913F59" w:rsidP="00DE3A76">
            <w:pPr>
              <w:jc w:val="center"/>
            </w:pPr>
            <w:r w:rsidRPr="00284B41">
              <w:t>145-154</w:t>
            </w:r>
          </w:p>
        </w:tc>
        <w:tc>
          <w:tcPr>
            <w:tcW w:w="1260" w:type="dxa"/>
          </w:tcPr>
          <w:p w14:paraId="4AEA9EDB" w14:textId="77777777" w:rsidR="00913F59" w:rsidRPr="00284B41" w:rsidRDefault="00913F59" w:rsidP="00DE3A76">
            <w:pPr>
              <w:jc w:val="center"/>
            </w:pPr>
            <w:r w:rsidRPr="00284B41">
              <w:t>5280-5600</w:t>
            </w:r>
          </w:p>
        </w:tc>
        <w:tc>
          <w:tcPr>
            <w:tcW w:w="1620" w:type="dxa"/>
          </w:tcPr>
          <w:p w14:paraId="25DD1286" w14:textId="77777777" w:rsidR="00913F59" w:rsidRPr="00284B41" w:rsidRDefault="00913F59" w:rsidP="00DE3A76">
            <w:pPr>
              <w:jc w:val="center"/>
            </w:pPr>
            <w:r w:rsidRPr="00284B41">
              <w:t>132-140</w:t>
            </w:r>
          </w:p>
        </w:tc>
        <w:tc>
          <w:tcPr>
            <w:tcW w:w="1710" w:type="dxa"/>
          </w:tcPr>
          <w:p w14:paraId="2D1C65CA" w14:textId="77777777" w:rsidR="00913F59" w:rsidRPr="00284B41" w:rsidRDefault="00913F59" w:rsidP="00DE3A76">
            <w:pPr>
              <w:jc w:val="center"/>
            </w:pPr>
            <w:r w:rsidRPr="00284B41">
              <w:t>264-280</w:t>
            </w:r>
          </w:p>
        </w:tc>
        <w:tc>
          <w:tcPr>
            <w:tcW w:w="1350" w:type="dxa"/>
          </w:tcPr>
          <w:p w14:paraId="3579B852" w14:textId="77777777" w:rsidR="00913F59" w:rsidRPr="00284B41" w:rsidRDefault="00913F59" w:rsidP="00DE3A76">
            <w:pPr>
              <w:jc w:val="center"/>
            </w:pPr>
            <w:r w:rsidRPr="00284B41">
              <w:t>7.0</w:t>
            </w:r>
          </w:p>
        </w:tc>
        <w:tc>
          <w:tcPr>
            <w:tcW w:w="1535" w:type="dxa"/>
          </w:tcPr>
          <w:p w14:paraId="19A0F5A3" w14:textId="77777777" w:rsidR="00913F59" w:rsidRPr="00284B41" w:rsidRDefault="00913F59" w:rsidP="00DE3A76">
            <w:pPr>
              <w:jc w:val="center"/>
            </w:pPr>
            <w:r w:rsidRPr="00284B41">
              <w:t>9.0-10.0</w:t>
            </w:r>
          </w:p>
        </w:tc>
      </w:tr>
      <w:tr w:rsidR="00913F59" w:rsidRPr="00284B41" w14:paraId="741BE441" w14:textId="77777777" w:rsidTr="00DE3A76">
        <w:trPr>
          <w:jc w:val="center"/>
        </w:trPr>
        <w:tc>
          <w:tcPr>
            <w:tcW w:w="895" w:type="dxa"/>
          </w:tcPr>
          <w:p w14:paraId="3B1DE408" w14:textId="77777777" w:rsidR="00913F59" w:rsidRPr="00284B41" w:rsidRDefault="00913F59" w:rsidP="00DE3A76">
            <w:pPr>
              <w:jc w:val="center"/>
            </w:pPr>
            <w:r w:rsidRPr="00284B41">
              <w:t>71-75</w:t>
            </w:r>
          </w:p>
        </w:tc>
        <w:tc>
          <w:tcPr>
            <w:tcW w:w="990" w:type="dxa"/>
          </w:tcPr>
          <w:p w14:paraId="04C1DD87" w14:textId="77777777" w:rsidR="00913F59" w:rsidRPr="00284B41" w:rsidRDefault="00913F59" w:rsidP="00DE3A76">
            <w:pPr>
              <w:jc w:val="center"/>
            </w:pPr>
            <w:r w:rsidRPr="00284B41">
              <w:t>156-185</w:t>
            </w:r>
          </w:p>
        </w:tc>
        <w:tc>
          <w:tcPr>
            <w:tcW w:w="1260" w:type="dxa"/>
          </w:tcPr>
          <w:p w14:paraId="1C5C369F" w14:textId="77777777" w:rsidR="00913F59" w:rsidRPr="00284B41" w:rsidRDefault="00913F59" w:rsidP="00DE3A76">
            <w:pPr>
              <w:jc w:val="center"/>
            </w:pPr>
            <w:r w:rsidRPr="00284B41">
              <w:t>5680-6000</w:t>
            </w:r>
          </w:p>
        </w:tc>
        <w:tc>
          <w:tcPr>
            <w:tcW w:w="1620" w:type="dxa"/>
          </w:tcPr>
          <w:p w14:paraId="18A83C8B" w14:textId="77777777" w:rsidR="00913F59" w:rsidRPr="00284B41" w:rsidRDefault="00913F59" w:rsidP="00DE3A76">
            <w:pPr>
              <w:jc w:val="center"/>
            </w:pPr>
            <w:r w:rsidRPr="00284B41">
              <w:t>142-150</w:t>
            </w:r>
          </w:p>
        </w:tc>
        <w:tc>
          <w:tcPr>
            <w:tcW w:w="1710" w:type="dxa"/>
          </w:tcPr>
          <w:p w14:paraId="09275E9E" w14:textId="77777777" w:rsidR="00913F59" w:rsidRPr="00284B41" w:rsidRDefault="00913F59" w:rsidP="00DE3A76">
            <w:pPr>
              <w:jc w:val="center"/>
            </w:pPr>
            <w:r w:rsidRPr="00284B41">
              <w:t>284-300</w:t>
            </w:r>
          </w:p>
        </w:tc>
        <w:tc>
          <w:tcPr>
            <w:tcW w:w="1350" w:type="dxa"/>
          </w:tcPr>
          <w:p w14:paraId="466576C4" w14:textId="77777777" w:rsidR="00913F59" w:rsidRPr="00284B41" w:rsidRDefault="00913F59" w:rsidP="00DE3A76">
            <w:pPr>
              <w:jc w:val="center"/>
            </w:pPr>
            <w:r w:rsidRPr="00284B41">
              <w:t>7.0</w:t>
            </w:r>
          </w:p>
        </w:tc>
        <w:tc>
          <w:tcPr>
            <w:tcW w:w="1535" w:type="dxa"/>
          </w:tcPr>
          <w:p w14:paraId="3D8A0CDA" w14:textId="77777777" w:rsidR="00913F59" w:rsidRPr="00284B41" w:rsidRDefault="00913F59" w:rsidP="00DE3A76">
            <w:pPr>
              <w:jc w:val="center"/>
            </w:pPr>
            <w:r w:rsidRPr="00284B41">
              <w:t>9.0-10.0</w:t>
            </w:r>
          </w:p>
        </w:tc>
      </w:tr>
      <w:tr w:rsidR="00913F59" w:rsidRPr="00284B41" w14:paraId="27A97F87" w14:textId="77777777" w:rsidTr="00DE3A76">
        <w:trPr>
          <w:jc w:val="center"/>
        </w:trPr>
        <w:tc>
          <w:tcPr>
            <w:tcW w:w="895" w:type="dxa"/>
          </w:tcPr>
          <w:p w14:paraId="6D108261" w14:textId="77777777" w:rsidR="00913F59" w:rsidRPr="00284B41" w:rsidRDefault="00913F59" w:rsidP="00DE3A76">
            <w:pPr>
              <w:jc w:val="center"/>
            </w:pPr>
            <w:r w:rsidRPr="00284B41">
              <w:t>76-80</w:t>
            </w:r>
          </w:p>
        </w:tc>
        <w:tc>
          <w:tcPr>
            <w:tcW w:w="990" w:type="dxa"/>
          </w:tcPr>
          <w:p w14:paraId="2D66AB51" w14:textId="77777777" w:rsidR="00913F59" w:rsidRPr="00284B41" w:rsidRDefault="00913F59" w:rsidP="00DE3A76">
            <w:pPr>
              <w:jc w:val="center"/>
            </w:pPr>
            <w:r w:rsidRPr="00284B41">
              <w:t>167-176</w:t>
            </w:r>
          </w:p>
        </w:tc>
        <w:tc>
          <w:tcPr>
            <w:tcW w:w="1260" w:type="dxa"/>
          </w:tcPr>
          <w:p w14:paraId="56C70170" w14:textId="77777777" w:rsidR="00913F59" w:rsidRPr="00284B41" w:rsidRDefault="00913F59" w:rsidP="00DE3A76">
            <w:pPr>
              <w:jc w:val="center"/>
            </w:pPr>
            <w:r w:rsidRPr="00284B41">
              <w:t>6080-6400</w:t>
            </w:r>
          </w:p>
        </w:tc>
        <w:tc>
          <w:tcPr>
            <w:tcW w:w="1620" w:type="dxa"/>
          </w:tcPr>
          <w:p w14:paraId="2B8F1CAD" w14:textId="77777777" w:rsidR="00913F59" w:rsidRPr="00284B41" w:rsidRDefault="00913F59" w:rsidP="00DE3A76">
            <w:pPr>
              <w:jc w:val="center"/>
            </w:pPr>
            <w:r w:rsidRPr="00284B41">
              <w:t>152-160</w:t>
            </w:r>
          </w:p>
        </w:tc>
        <w:tc>
          <w:tcPr>
            <w:tcW w:w="1710" w:type="dxa"/>
          </w:tcPr>
          <w:p w14:paraId="2C4BDD69" w14:textId="77777777" w:rsidR="00913F59" w:rsidRPr="00284B41" w:rsidRDefault="00913F59" w:rsidP="00DE3A76">
            <w:pPr>
              <w:jc w:val="center"/>
            </w:pPr>
            <w:r w:rsidRPr="00284B41">
              <w:t>304-360</w:t>
            </w:r>
          </w:p>
        </w:tc>
        <w:tc>
          <w:tcPr>
            <w:tcW w:w="1350" w:type="dxa"/>
          </w:tcPr>
          <w:p w14:paraId="7579C056" w14:textId="77777777" w:rsidR="00913F59" w:rsidRPr="00284B41" w:rsidRDefault="00913F59" w:rsidP="00DE3A76">
            <w:pPr>
              <w:jc w:val="center"/>
            </w:pPr>
            <w:r w:rsidRPr="00284B41">
              <w:t>7.0</w:t>
            </w:r>
          </w:p>
        </w:tc>
        <w:tc>
          <w:tcPr>
            <w:tcW w:w="1535" w:type="dxa"/>
          </w:tcPr>
          <w:p w14:paraId="5AD4901D" w14:textId="77777777" w:rsidR="00913F59" w:rsidRPr="00284B41" w:rsidRDefault="00913F59" w:rsidP="00DE3A76">
            <w:pPr>
              <w:jc w:val="center"/>
            </w:pPr>
            <w:r w:rsidRPr="00284B41">
              <w:t>9.0-10.0</w:t>
            </w:r>
          </w:p>
        </w:tc>
      </w:tr>
      <w:tr w:rsidR="00913F59" w:rsidRPr="00284B41" w14:paraId="79ADA2EA" w14:textId="77777777" w:rsidTr="00DE3A76">
        <w:trPr>
          <w:jc w:val="center"/>
        </w:trPr>
        <w:tc>
          <w:tcPr>
            <w:tcW w:w="895" w:type="dxa"/>
          </w:tcPr>
          <w:p w14:paraId="2C8E3376" w14:textId="77777777" w:rsidR="00913F59" w:rsidRPr="00284B41" w:rsidRDefault="00913F59" w:rsidP="00DE3A76">
            <w:pPr>
              <w:jc w:val="center"/>
            </w:pPr>
            <w:r w:rsidRPr="00284B41">
              <w:t>81-85</w:t>
            </w:r>
          </w:p>
        </w:tc>
        <w:tc>
          <w:tcPr>
            <w:tcW w:w="990" w:type="dxa"/>
          </w:tcPr>
          <w:p w14:paraId="66591267" w14:textId="77777777" w:rsidR="00913F59" w:rsidRPr="00284B41" w:rsidRDefault="00913F59" w:rsidP="00DE3A76">
            <w:pPr>
              <w:jc w:val="center"/>
            </w:pPr>
            <w:r w:rsidRPr="00284B41">
              <w:t>178-187</w:t>
            </w:r>
          </w:p>
        </w:tc>
        <w:tc>
          <w:tcPr>
            <w:tcW w:w="1260" w:type="dxa"/>
          </w:tcPr>
          <w:p w14:paraId="0223DFC6" w14:textId="77777777" w:rsidR="00913F59" w:rsidRPr="00284B41" w:rsidRDefault="00913F59" w:rsidP="00DE3A76">
            <w:pPr>
              <w:jc w:val="center"/>
            </w:pPr>
            <w:r w:rsidRPr="00284B41">
              <w:t>6480-6800</w:t>
            </w:r>
          </w:p>
        </w:tc>
        <w:tc>
          <w:tcPr>
            <w:tcW w:w="1620" w:type="dxa"/>
          </w:tcPr>
          <w:p w14:paraId="354C670D" w14:textId="77777777" w:rsidR="00913F59" w:rsidRPr="00284B41" w:rsidRDefault="00913F59" w:rsidP="00DE3A76">
            <w:pPr>
              <w:jc w:val="center"/>
            </w:pPr>
            <w:r w:rsidRPr="00284B41">
              <w:t>162-170</w:t>
            </w:r>
          </w:p>
        </w:tc>
        <w:tc>
          <w:tcPr>
            <w:tcW w:w="1710" w:type="dxa"/>
          </w:tcPr>
          <w:p w14:paraId="4F1A3970" w14:textId="77777777" w:rsidR="00913F59" w:rsidRPr="00284B41" w:rsidRDefault="00913F59" w:rsidP="00DE3A76">
            <w:pPr>
              <w:jc w:val="center"/>
            </w:pPr>
            <w:r w:rsidRPr="00284B41">
              <w:t>324-340</w:t>
            </w:r>
          </w:p>
        </w:tc>
        <w:tc>
          <w:tcPr>
            <w:tcW w:w="1350" w:type="dxa"/>
          </w:tcPr>
          <w:p w14:paraId="3C1A54C1" w14:textId="77777777" w:rsidR="00913F59" w:rsidRPr="00284B41" w:rsidRDefault="00913F59" w:rsidP="00DE3A76">
            <w:pPr>
              <w:jc w:val="center"/>
            </w:pPr>
            <w:r w:rsidRPr="00284B41">
              <w:t>7.0</w:t>
            </w:r>
          </w:p>
        </w:tc>
        <w:tc>
          <w:tcPr>
            <w:tcW w:w="1535" w:type="dxa"/>
          </w:tcPr>
          <w:p w14:paraId="59324C80" w14:textId="77777777" w:rsidR="00913F59" w:rsidRPr="00284B41" w:rsidRDefault="00913F59" w:rsidP="00DE3A76">
            <w:pPr>
              <w:jc w:val="center"/>
            </w:pPr>
            <w:r w:rsidRPr="00284B41">
              <w:t>9.0-10.0</w:t>
            </w:r>
          </w:p>
        </w:tc>
      </w:tr>
      <w:tr w:rsidR="00913F59" w:rsidRPr="00284B41" w14:paraId="4E5A1901" w14:textId="77777777" w:rsidTr="00DE3A76">
        <w:trPr>
          <w:jc w:val="center"/>
        </w:trPr>
        <w:tc>
          <w:tcPr>
            <w:tcW w:w="895" w:type="dxa"/>
          </w:tcPr>
          <w:p w14:paraId="154FD1BD" w14:textId="77777777" w:rsidR="00913F59" w:rsidRPr="00284B41" w:rsidRDefault="00913F59" w:rsidP="00DE3A76">
            <w:pPr>
              <w:jc w:val="center"/>
            </w:pPr>
            <w:r w:rsidRPr="00284B41">
              <w:t>86-90</w:t>
            </w:r>
          </w:p>
        </w:tc>
        <w:tc>
          <w:tcPr>
            <w:tcW w:w="990" w:type="dxa"/>
          </w:tcPr>
          <w:p w14:paraId="322DF456" w14:textId="77777777" w:rsidR="00913F59" w:rsidRPr="00284B41" w:rsidRDefault="00913F59" w:rsidP="00DE3A76">
            <w:pPr>
              <w:jc w:val="center"/>
            </w:pPr>
            <w:r w:rsidRPr="00284B41">
              <w:t>189-198</w:t>
            </w:r>
          </w:p>
        </w:tc>
        <w:tc>
          <w:tcPr>
            <w:tcW w:w="1260" w:type="dxa"/>
          </w:tcPr>
          <w:p w14:paraId="28035552" w14:textId="77777777" w:rsidR="00913F59" w:rsidRPr="00284B41" w:rsidRDefault="00913F59" w:rsidP="00DE3A76">
            <w:pPr>
              <w:jc w:val="center"/>
            </w:pPr>
            <w:r w:rsidRPr="00284B41">
              <w:t>6880-7200</w:t>
            </w:r>
          </w:p>
        </w:tc>
        <w:tc>
          <w:tcPr>
            <w:tcW w:w="1620" w:type="dxa"/>
          </w:tcPr>
          <w:p w14:paraId="22ECE89B" w14:textId="77777777" w:rsidR="00913F59" w:rsidRPr="00284B41" w:rsidRDefault="00913F59" w:rsidP="00DE3A76">
            <w:pPr>
              <w:jc w:val="center"/>
            </w:pPr>
            <w:r w:rsidRPr="00284B41">
              <w:t>172-180</w:t>
            </w:r>
          </w:p>
        </w:tc>
        <w:tc>
          <w:tcPr>
            <w:tcW w:w="1710" w:type="dxa"/>
          </w:tcPr>
          <w:p w14:paraId="75A45686" w14:textId="77777777" w:rsidR="00913F59" w:rsidRPr="00284B41" w:rsidRDefault="00913F59" w:rsidP="00DE3A76">
            <w:pPr>
              <w:jc w:val="center"/>
            </w:pPr>
            <w:r w:rsidRPr="00284B41">
              <w:t>344-360</w:t>
            </w:r>
          </w:p>
        </w:tc>
        <w:tc>
          <w:tcPr>
            <w:tcW w:w="1350" w:type="dxa"/>
          </w:tcPr>
          <w:p w14:paraId="3C98592D" w14:textId="77777777" w:rsidR="00913F59" w:rsidRPr="00284B41" w:rsidRDefault="00913F59" w:rsidP="00DE3A76">
            <w:pPr>
              <w:jc w:val="center"/>
            </w:pPr>
            <w:r w:rsidRPr="00284B41">
              <w:t>7.0</w:t>
            </w:r>
          </w:p>
        </w:tc>
        <w:tc>
          <w:tcPr>
            <w:tcW w:w="1535" w:type="dxa"/>
          </w:tcPr>
          <w:p w14:paraId="3BA1EEFC" w14:textId="77777777" w:rsidR="00913F59" w:rsidRPr="00284B41" w:rsidRDefault="00913F59" w:rsidP="00DE3A76">
            <w:pPr>
              <w:jc w:val="center"/>
            </w:pPr>
            <w:r w:rsidRPr="00284B41">
              <w:t>9.0-10.0</w:t>
            </w:r>
          </w:p>
        </w:tc>
      </w:tr>
      <w:tr w:rsidR="00913F59" w:rsidRPr="00284B41" w14:paraId="12AED087" w14:textId="77777777" w:rsidTr="00DE3A76">
        <w:trPr>
          <w:jc w:val="center"/>
        </w:trPr>
        <w:tc>
          <w:tcPr>
            <w:tcW w:w="895" w:type="dxa"/>
          </w:tcPr>
          <w:p w14:paraId="717E24EF" w14:textId="77777777" w:rsidR="00913F59" w:rsidRPr="00284B41" w:rsidRDefault="00913F59" w:rsidP="00DE3A76">
            <w:pPr>
              <w:jc w:val="center"/>
            </w:pPr>
            <w:r w:rsidRPr="00284B41">
              <w:t>91-95</w:t>
            </w:r>
          </w:p>
        </w:tc>
        <w:tc>
          <w:tcPr>
            <w:tcW w:w="990" w:type="dxa"/>
          </w:tcPr>
          <w:p w14:paraId="0F5BE268" w14:textId="77777777" w:rsidR="00913F59" w:rsidRPr="00284B41" w:rsidRDefault="00913F59" w:rsidP="00DE3A76">
            <w:pPr>
              <w:jc w:val="center"/>
            </w:pPr>
            <w:r w:rsidRPr="00284B41">
              <w:t>200-209</w:t>
            </w:r>
          </w:p>
        </w:tc>
        <w:tc>
          <w:tcPr>
            <w:tcW w:w="1260" w:type="dxa"/>
          </w:tcPr>
          <w:p w14:paraId="530973BE" w14:textId="77777777" w:rsidR="00913F59" w:rsidRPr="00284B41" w:rsidRDefault="00913F59" w:rsidP="00DE3A76">
            <w:pPr>
              <w:jc w:val="center"/>
            </w:pPr>
            <w:r w:rsidRPr="00284B41">
              <w:t>7280-7600</w:t>
            </w:r>
          </w:p>
        </w:tc>
        <w:tc>
          <w:tcPr>
            <w:tcW w:w="1620" w:type="dxa"/>
          </w:tcPr>
          <w:p w14:paraId="2CAA1033" w14:textId="77777777" w:rsidR="00913F59" w:rsidRPr="00284B41" w:rsidRDefault="00913F59" w:rsidP="00DE3A76">
            <w:pPr>
              <w:jc w:val="center"/>
            </w:pPr>
            <w:r w:rsidRPr="00284B41">
              <w:t>182-190</w:t>
            </w:r>
          </w:p>
        </w:tc>
        <w:tc>
          <w:tcPr>
            <w:tcW w:w="1710" w:type="dxa"/>
          </w:tcPr>
          <w:p w14:paraId="133C35A5" w14:textId="77777777" w:rsidR="00913F59" w:rsidRPr="00284B41" w:rsidRDefault="00913F59" w:rsidP="00DE3A76">
            <w:pPr>
              <w:jc w:val="center"/>
            </w:pPr>
            <w:r w:rsidRPr="00284B41">
              <w:t>364-380</w:t>
            </w:r>
          </w:p>
        </w:tc>
        <w:tc>
          <w:tcPr>
            <w:tcW w:w="1350" w:type="dxa"/>
          </w:tcPr>
          <w:p w14:paraId="07E2A880" w14:textId="77777777" w:rsidR="00913F59" w:rsidRPr="00284B41" w:rsidRDefault="00913F59" w:rsidP="00DE3A76">
            <w:pPr>
              <w:jc w:val="center"/>
            </w:pPr>
            <w:r w:rsidRPr="00284B41">
              <w:t>7.0</w:t>
            </w:r>
          </w:p>
        </w:tc>
        <w:tc>
          <w:tcPr>
            <w:tcW w:w="1535" w:type="dxa"/>
          </w:tcPr>
          <w:p w14:paraId="1D66FAC3" w14:textId="77777777" w:rsidR="00913F59" w:rsidRPr="00284B41" w:rsidRDefault="00913F59" w:rsidP="00DE3A76">
            <w:pPr>
              <w:jc w:val="center"/>
            </w:pPr>
            <w:r w:rsidRPr="00284B41">
              <w:t>9.0-10.0</w:t>
            </w:r>
          </w:p>
        </w:tc>
      </w:tr>
      <w:tr w:rsidR="00913F59" w:rsidRPr="00284B41" w14:paraId="68847974" w14:textId="77777777" w:rsidTr="00DE3A76">
        <w:trPr>
          <w:jc w:val="center"/>
        </w:trPr>
        <w:tc>
          <w:tcPr>
            <w:tcW w:w="895" w:type="dxa"/>
          </w:tcPr>
          <w:p w14:paraId="57827BAC" w14:textId="77777777" w:rsidR="00913F59" w:rsidRPr="00284B41" w:rsidRDefault="00913F59" w:rsidP="00DE3A76">
            <w:pPr>
              <w:jc w:val="center"/>
            </w:pPr>
            <w:r w:rsidRPr="00284B41">
              <w:t>96-100</w:t>
            </w:r>
          </w:p>
        </w:tc>
        <w:tc>
          <w:tcPr>
            <w:tcW w:w="990" w:type="dxa"/>
          </w:tcPr>
          <w:p w14:paraId="43CF4AE7" w14:textId="77777777" w:rsidR="00913F59" w:rsidRPr="00284B41" w:rsidRDefault="00913F59" w:rsidP="00DE3A76">
            <w:pPr>
              <w:jc w:val="center"/>
            </w:pPr>
            <w:r w:rsidRPr="00284B41">
              <w:t>211-220</w:t>
            </w:r>
          </w:p>
        </w:tc>
        <w:tc>
          <w:tcPr>
            <w:tcW w:w="1260" w:type="dxa"/>
          </w:tcPr>
          <w:p w14:paraId="02795C75" w14:textId="77777777" w:rsidR="00913F59" w:rsidRPr="00284B41" w:rsidRDefault="00913F59" w:rsidP="00DE3A76">
            <w:pPr>
              <w:jc w:val="center"/>
            </w:pPr>
            <w:r w:rsidRPr="00284B41">
              <w:t>7680-8000</w:t>
            </w:r>
          </w:p>
        </w:tc>
        <w:tc>
          <w:tcPr>
            <w:tcW w:w="1620" w:type="dxa"/>
          </w:tcPr>
          <w:p w14:paraId="04DCB47F" w14:textId="77777777" w:rsidR="00913F59" w:rsidRPr="00284B41" w:rsidRDefault="00913F59" w:rsidP="00DE3A76">
            <w:pPr>
              <w:jc w:val="center"/>
            </w:pPr>
            <w:r w:rsidRPr="00284B41">
              <w:t>192-200</w:t>
            </w:r>
          </w:p>
        </w:tc>
        <w:tc>
          <w:tcPr>
            <w:tcW w:w="1710" w:type="dxa"/>
          </w:tcPr>
          <w:p w14:paraId="22052443" w14:textId="77777777" w:rsidR="00913F59" w:rsidRPr="00284B41" w:rsidRDefault="00913F59" w:rsidP="00DE3A76">
            <w:pPr>
              <w:jc w:val="center"/>
            </w:pPr>
            <w:r w:rsidRPr="00284B41">
              <w:t>384-400</w:t>
            </w:r>
          </w:p>
        </w:tc>
        <w:tc>
          <w:tcPr>
            <w:tcW w:w="1350" w:type="dxa"/>
          </w:tcPr>
          <w:p w14:paraId="3A4CEAAF" w14:textId="77777777" w:rsidR="00913F59" w:rsidRPr="00284B41" w:rsidRDefault="00913F59" w:rsidP="00DE3A76">
            <w:pPr>
              <w:jc w:val="center"/>
            </w:pPr>
            <w:r w:rsidRPr="00284B41">
              <w:t>7.0</w:t>
            </w:r>
          </w:p>
        </w:tc>
        <w:tc>
          <w:tcPr>
            <w:tcW w:w="1535" w:type="dxa"/>
          </w:tcPr>
          <w:p w14:paraId="33D409B0" w14:textId="77777777" w:rsidR="00913F59" w:rsidRPr="00284B41" w:rsidRDefault="00913F59" w:rsidP="00DE3A76">
            <w:pPr>
              <w:jc w:val="center"/>
            </w:pPr>
            <w:r w:rsidRPr="00284B41">
              <w:t>9.0-10.0</w:t>
            </w:r>
          </w:p>
        </w:tc>
      </w:tr>
    </w:tbl>
    <w:p w14:paraId="3D345326" w14:textId="77777777" w:rsidR="00F13B20" w:rsidRDefault="00F13B20"/>
    <w:sectPr w:rsidR="00F13B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2A237" w14:textId="77777777" w:rsidR="00000000" w:rsidRDefault="00473458">
      <w:r>
        <w:separator/>
      </w:r>
    </w:p>
  </w:endnote>
  <w:endnote w:type="continuationSeparator" w:id="0">
    <w:p w14:paraId="73C5C2F1" w14:textId="77777777" w:rsidR="00000000" w:rsidRDefault="0047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8B98C" w14:textId="77777777" w:rsidR="00221D93" w:rsidRPr="00582E13" w:rsidRDefault="00913F59" w:rsidP="00ED18BA">
    <w:pPr>
      <w:pStyle w:val="Footer"/>
      <w:tabs>
        <w:tab w:val="clear" w:pos="4680"/>
      </w:tabs>
      <w:rPr>
        <w:rFonts w:cs="Arial"/>
        <w:szCs w:val="20"/>
      </w:rPr>
    </w:pPr>
    <w:r>
      <w:rPr>
        <w:rFonts w:cs="Arial"/>
        <w:szCs w:val="20"/>
      </w:rPr>
      <w:t>TBI CDE Version 2.0</w:t>
    </w:r>
    <w:r>
      <w:rPr>
        <w:rFonts w:cs="Arial"/>
        <w:szCs w:val="20"/>
      </w:rPr>
      <w:tab/>
    </w:r>
    <w:r w:rsidRPr="0067442A">
      <w:rPr>
        <w:rFonts w:cs="Arial"/>
        <w:szCs w:val="20"/>
      </w:rPr>
      <w:t xml:space="preserve">Page </w:t>
    </w:r>
    <w:r w:rsidRPr="0067442A">
      <w:rPr>
        <w:rFonts w:cs="Arial"/>
        <w:szCs w:val="20"/>
      </w:rPr>
      <w:fldChar w:fldCharType="begin"/>
    </w:r>
    <w:r w:rsidRPr="0067442A">
      <w:rPr>
        <w:rFonts w:cs="Arial"/>
        <w:szCs w:val="20"/>
      </w:rPr>
      <w:instrText xml:space="preserve"> PAGE </w:instrText>
    </w:r>
    <w:r w:rsidRPr="0067442A">
      <w:rPr>
        <w:rFonts w:cs="Arial"/>
        <w:szCs w:val="20"/>
      </w:rPr>
      <w:fldChar w:fldCharType="separate"/>
    </w:r>
    <w:r w:rsidR="00473458">
      <w:rPr>
        <w:rFonts w:cs="Arial"/>
        <w:noProof/>
        <w:szCs w:val="20"/>
      </w:rPr>
      <w:t>3</w:t>
    </w:r>
    <w:r w:rsidRPr="0067442A">
      <w:rPr>
        <w:rFonts w:cs="Arial"/>
        <w:szCs w:val="20"/>
      </w:rPr>
      <w:fldChar w:fldCharType="end"/>
    </w:r>
    <w:r w:rsidRPr="0067442A">
      <w:rPr>
        <w:rFonts w:cs="Arial"/>
        <w:szCs w:val="20"/>
      </w:rPr>
      <w:t xml:space="preserve"> of </w:t>
    </w:r>
    <w:r w:rsidRPr="0067442A">
      <w:rPr>
        <w:rFonts w:cs="Arial"/>
        <w:szCs w:val="20"/>
      </w:rPr>
      <w:fldChar w:fldCharType="begin"/>
    </w:r>
    <w:r w:rsidRPr="0067442A">
      <w:rPr>
        <w:rFonts w:cs="Arial"/>
        <w:szCs w:val="20"/>
      </w:rPr>
      <w:instrText xml:space="preserve"> NUMPAGES  </w:instrText>
    </w:r>
    <w:r w:rsidRPr="0067442A">
      <w:rPr>
        <w:rFonts w:cs="Arial"/>
        <w:szCs w:val="20"/>
      </w:rPr>
      <w:fldChar w:fldCharType="separate"/>
    </w:r>
    <w:r w:rsidR="00473458">
      <w:rPr>
        <w:rFonts w:cs="Arial"/>
        <w:noProof/>
        <w:szCs w:val="20"/>
      </w:rPr>
      <w:t>6</w:t>
    </w:r>
    <w:r w:rsidRPr="0067442A">
      <w:rPr>
        <w:rFonts w:cs="Arial"/>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72429" w14:textId="77777777" w:rsidR="00000000" w:rsidRDefault="00473458">
      <w:r>
        <w:separator/>
      </w:r>
    </w:p>
  </w:footnote>
  <w:footnote w:type="continuationSeparator" w:id="0">
    <w:p w14:paraId="0AE72513" w14:textId="77777777" w:rsidR="00000000" w:rsidRDefault="00473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E9B91" w14:textId="77777777" w:rsidR="00221D93" w:rsidRPr="00ED18BA" w:rsidRDefault="00913F59" w:rsidP="00ED18BA">
    <w:pPr>
      <w:pStyle w:val="Heading1"/>
    </w:pPr>
    <w:r w:rsidRPr="00ED18BA">
      <w:t>Plasma and Serum Guidelines for Proteomic Analyses</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7695"/>
    <w:multiLevelType w:val="multilevel"/>
    <w:tmpl w:val="6D4674AE"/>
    <w:lvl w:ilvl="0">
      <w:start w:val="1"/>
      <w:numFmt w:val="upperLetter"/>
      <w:lvlText w:val="%1."/>
      <w:lvlJc w:val="left"/>
      <w:pPr>
        <w:tabs>
          <w:tab w:val="num" w:pos="810"/>
        </w:tabs>
        <w:ind w:left="810" w:hanging="360"/>
      </w:pPr>
      <w:rPr>
        <w:rFonts w:ascii="Arial" w:eastAsia="Times New Roman" w:hAnsi="Arial" w:cs="Arial" w:hint="default"/>
        <w:sz w:val="20"/>
        <w:szCs w:val="20"/>
      </w:rPr>
    </w:lvl>
    <w:lvl w:ilvl="1">
      <w:start w:val="1"/>
      <w:numFmt w:val="lowerRoman"/>
      <w:lvlText w:val="%2."/>
      <w:lvlJc w:val="left"/>
      <w:pPr>
        <w:tabs>
          <w:tab w:val="num" w:pos="1890"/>
        </w:tabs>
        <w:ind w:left="1890" w:hanging="360"/>
      </w:pPr>
      <w:rPr>
        <w:rFonts w:hint="default"/>
      </w:rPr>
    </w:lvl>
    <w:lvl w:ilvl="2">
      <w:start w:val="1"/>
      <w:numFmt w:val="decimal"/>
      <w:lvlText w:val="%3."/>
      <w:lvlJc w:val="right"/>
      <w:pPr>
        <w:tabs>
          <w:tab w:val="num" w:pos="2610"/>
        </w:tabs>
        <w:ind w:left="2610" w:hanging="180"/>
      </w:pPr>
      <w:rPr>
        <w:rFonts w:hint="default"/>
        <w:sz w:val="22"/>
      </w:rPr>
    </w:lvl>
    <w:lvl w:ilvl="3">
      <w:start w:val="1"/>
      <w:numFmt w:val="lowerRoman"/>
      <w:lvlText w:val="%4."/>
      <w:lvlJc w:val="left"/>
      <w:pPr>
        <w:tabs>
          <w:tab w:val="num" w:pos="3330"/>
        </w:tabs>
        <w:ind w:left="3330" w:hanging="360"/>
      </w:pPr>
      <w:rPr>
        <w:rFonts w:ascii="Arial" w:eastAsia="Times New Roman" w:hAnsi="Arial" w:cs="Arial"/>
      </w:rPr>
    </w:lvl>
    <w:lvl w:ilvl="4">
      <w:start w:val="1"/>
      <w:numFmt w:val="lowerLetter"/>
      <w:lvlText w:val="%5."/>
      <w:lvlJc w:val="left"/>
      <w:pPr>
        <w:tabs>
          <w:tab w:val="num" w:pos="4050"/>
        </w:tabs>
        <w:ind w:left="4050" w:hanging="360"/>
      </w:pPr>
      <w:rPr>
        <w:rFonts w:hint="default"/>
      </w:rPr>
    </w:lvl>
    <w:lvl w:ilvl="5">
      <w:start w:val="1"/>
      <w:numFmt w:val="lowerRoman"/>
      <w:lvlText w:val="%6."/>
      <w:lvlJc w:val="right"/>
      <w:pPr>
        <w:tabs>
          <w:tab w:val="num" w:pos="4770"/>
        </w:tabs>
        <w:ind w:left="4770" w:hanging="180"/>
      </w:pPr>
      <w:rPr>
        <w:rFonts w:hint="default"/>
      </w:rPr>
    </w:lvl>
    <w:lvl w:ilvl="6">
      <w:start w:val="1"/>
      <w:numFmt w:val="decimal"/>
      <w:lvlText w:val="%7."/>
      <w:lvlJc w:val="left"/>
      <w:pPr>
        <w:tabs>
          <w:tab w:val="num" w:pos="5490"/>
        </w:tabs>
        <w:ind w:left="5490" w:hanging="360"/>
      </w:pPr>
      <w:rPr>
        <w:rFonts w:hint="default"/>
      </w:rPr>
    </w:lvl>
    <w:lvl w:ilvl="7">
      <w:start w:val="1"/>
      <w:numFmt w:val="lowerLetter"/>
      <w:lvlText w:val="%8."/>
      <w:lvlJc w:val="left"/>
      <w:pPr>
        <w:tabs>
          <w:tab w:val="num" w:pos="6210"/>
        </w:tabs>
        <w:ind w:left="6210" w:hanging="360"/>
      </w:pPr>
      <w:rPr>
        <w:rFonts w:hint="default"/>
      </w:rPr>
    </w:lvl>
    <w:lvl w:ilvl="8">
      <w:start w:val="1"/>
      <w:numFmt w:val="lowerRoman"/>
      <w:lvlText w:val="%9."/>
      <w:lvlJc w:val="right"/>
      <w:pPr>
        <w:tabs>
          <w:tab w:val="num" w:pos="6930"/>
        </w:tabs>
        <w:ind w:left="6930" w:hanging="180"/>
      </w:pPr>
      <w:rPr>
        <w:rFonts w:hint="default"/>
      </w:rPr>
    </w:lvl>
  </w:abstractNum>
  <w:abstractNum w:abstractNumId="1" w15:restartNumberingAfterBreak="0">
    <w:nsid w:val="089E4DE0"/>
    <w:multiLevelType w:val="multilevel"/>
    <w:tmpl w:val="A254127C"/>
    <w:lvl w:ilvl="0">
      <w:start w:val="1"/>
      <w:numFmt w:val="upperLetter"/>
      <w:lvlText w:val="%1."/>
      <w:lvlJc w:val="left"/>
      <w:pPr>
        <w:tabs>
          <w:tab w:val="num" w:pos="810"/>
        </w:tabs>
        <w:ind w:left="810" w:hanging="360"/>
      </w:pPr>
      <w:rPr>
        <w:rFonts w:ascii="Arial" w:eastAsia="Times New Roman" w:hAnsi="Arial" w:cs="Arial" w:hint="default"/>
      </w:rPr>
    </w:lvl>
    <w:lvl w:ilvl="1">
      <w:start w:val="1"/>
      <w:numFmt w:val="lowerRoman"/>
      <w:lvlText w:val="%2."/>
      <w:lvlJc w:val="left"/>
      <w:pPr>
        <w:tabs>
          <w:tab w:val="num" w:pos="1890"/>
        </w:tabs>
        <w:ind w:left="1890" w:hanging="360"/>
      </w:pPr>
      <w:rPr>
        <w:rFonts w:hint="default"/>
      </w:rPr>
    </w:lvl>
    <w:lvl w:ilvl="2">
      <w:start w:val="1"/>
      <w:numFmt w:val="decimal"/>
      <w:lvlText w:val="%3."/>
      <w:lvlJc w:val="right"/>
      <w:pPr>
        <w:tabs>
          <w:tab w:val="num" w:pos="1170"/>
        </w:tabs>
        <w:ind w:left="1170" w:hanging="180"/>
      </w:pPr>
      <w:rPr>
        <w:rFonts w:hint="default"/>
      </w:rPr>
    </w:lvl>
    <w:lvl w:ilvl="3">
      <w:start w:val="1"/>
      <w:numFmt w:val="decimal"/>
      <w:lvlText w:val="%4."/>
      <w:lvlJc w:val="left"/>
      <w:pPr>
        <w:tabs>
          <w:tab w:val="num" w:pos="3330"/>
        </w:tabs>
        <w:ind w:left="3330" w:hanging="360"/>
      </w:pPr>
      <w:rPr>
        <w:rFonts w:hint="default"/>
      </w:rPr>
    </w:lvl>
    <w:lvl w:ilvl="4">
      <w:start w:val="1"/>
      <w:numFmt w:val="lowerLetter"/>
      <w:lvlText w:val="%5."/>
      <w:lvlJc w:val="left"/>
      <w:pPr>
        <w:tabs>
          <w:tab w:val="num" w:pos="4050"/>
        </w:tabs>
        <w:ind w:left="4050" w:hanging="360"/>
      </w:pPr>
      <w:rPr>
        <w:rFonts w:hint="default"/>
      </w:rPr>
    </w:lvl>
    <w:lvl w:ilvl="5">
      <w:start w:val="1"/>
      <w:numFmt w:val="lowerRoman"/>
      <w:lvlText w:val="%6."/>
      <w:lvlJc w:val="right"/>
      <w:pPr>
        <w:tabs>
          <w:tab w:val="num" w:pos="4770"/>
        </w:tabs>
        <w:ind w:left="4770" w:hanging="180"/>
      </w:pPr>
      <w:rPr>
        <w:rFonts w:hint="default"/>
      </w:rPr>
    </w:lvl>
    <w:lvl w:ilvl="6">
      <w:start w:val="1"/>
      <w:numFmt w:val="decimal"/>
      <w:lvlText w:val="%7."/>
      <w:lvlJc w:val="left"/>
      <w:pPr>
        <w:tabs>
          <w:tab w:val="num" w:pos="5490"/>
        </w:tabs>
        <w:ind w:left="5490" w:hanging="360"/>
      </w:pPr>
      <w:rPr>
        <w:rFonts w:hint="default"/>
      </w:rPr>
    </w:lvl>
    <w:lvl w:ilvl="7">
      <w:start w:val="1"/>
      <w:numFmt w:val="lowerLetter"/>
      <w:lvlText w:val="%8."/>
      <w:lvlJc w:val="left"/>
      <w:pPr>
        <w:tabs>
          <w:tab w:val="num" w:pos="6210"/>
        </w:tabs>
        <w:ind w:left="6210" w:hanging="360"/>
      </w:pPr>
      <w:rPr>
        <w:rFonts w:hint="default"/>
      </w:rPr>
    </w:lvl>
    <w:lvl w:ilvl="8">
      <w:start w:val="1"/>
      <w:numFmt w:val="lowerRoman"/>
      <w:lvlText w:val="%9."/>
      <w:lvlJc w:val="right"/>
      <w:pPr>
        <w:tabs>
          <w:tab w:val="num" w:pos="6930"/>
        </w:tabs>
        <w:ind w:left="6930" w:hanging="180"/>
      </w:pPr>
      <w:rPr>
        <w:rFonts w:hint="default"/>
      </w:rPr>
    </w:lvl>
  </w:abstractNum>
  <w:abstractNum w:abstractNumId="2" w15:restartNumberingAfterBreak="0">
    <w:nsid w:val="26C352DC"/>
    <w:multiLevelType w:val="hybridMultilevel"/>
    <w:tmpl w:val="87A8DBD4"/>
    <w:lvl w:ilvl="0" w:tplc="F87C6404">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B7246"/>
    <w:multiLevelType w:val="hybridMultilevel"/>
    <w:tmpl w:val="B7609670"/>
    <w:lvl w:ilvl="0" w:tplc="93E6648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61315E6E"/>
    <w:multiLevelType w:val="multilevel"/>
    <w:tmpl w:val="96442A74"/>
    <w:lvl w:ilvl="0">
      <w:start w:val="1"/>
      <w:numFmt w:val="upperLetter"/>
      <w:lvlText w:val="%1."/>
      <w:lvlJc w:val="left"/>
      <w:pPr>
        <w:tabs>
          <w:tab w:val="num" w:pos="810"/>
        </w:tabs>
        <w:ind w:left="810" w:hanging="360"/>
      </w:pPr>
      <w:rPr>
        <w:rFonts w:ascii="Arial" w:eastAsia="Times New Roman" w:hAnsi="Arial" w:cs="Arial" w:hint="default"/>
        <w:sz w:val="20"/>
        <w:szCs w:val="20"/>
      </w:rPr>
    </w:lvl>
    <w:lvl w:ilvl="1">
      <w:start w:val="1"/>
      <w:numFmt w:val="lowerRoman"/>
      <w:lvlText w:val="%2."/>
      <w:lvlJc w:val="left"/>
      <w:pPr>
        <w:tabs>
          <w:tab w:val="num" w:pos="1890"/>
        </w:tabs>
        <w:ind w:left="1890" w:hanging="360"/>
      </w:pPr>
      <w:rPr>
        <w:rFonts w:hint="default"/>
      </w:rPr>
    </w:lvl>
    <w:lvl w:ilvl="2">
      <w:start w:val="1"/>
      <w:numFmt w:val="decimal"/>
      <w:lvlText w:val="%3."/>
      <w:lvlJc w:val="right"/>
      <w:pPr>
        <w:tabs>
          <w:tab w:val="num" w:pos="2610"/>
        </w:tabs>
        <w:ind w:left="2610" w:hanging="180"/>
      </w:pPr>
      <w:rPr>
        <w:rFonts w:hint="default"/>
      </w:rPr>
    </w:lvl>
    <w:lvl w:ilvl="3">
      <w:start w:val="1"/>
      <w:numFmt w:val="decimal"/>
      <w:lvlText w:val="%4."/>
      <w:lvlJc w:val="left"/>
      <w:pPr>
        <w:tabs>
          <w:tab w:val="num" w:pos="3330"/>
        </w:tabs>
        <w:ind w:left="3330" w:hanging="360"/>
      </w:pPr>
      <w:rPr>
        <w:rFonts w:hint="default"/>
      </w:rPr>
    </w:lvl>
    <w:lvl w:ilvl="4">
      <w:start w:val="1"/>
      <w:numFmt w:val="lowerLetter"/>
      <w:lvlText w:val="%5."/>
      <w:lvlJc w:val="left"/>
      <w:pPr>
        <w:tabs>
          <w:tab w:val="num" w:pos="4050"/>
        </w:tabs>
        <w:ind w:left="4050" w:hanging="360"/>
      </w:pPr>
      <w:rPr>
        <w:rFonts w:hint="default"/>
      </w:rPr>
    </w:lvl>
    <w:lvl w:ilvl="5">
      <w:start w:val="1"/>
      <w:numFmt w:val="lowerRoman"/>
      <w:lvlText w:val="%6."/>
      <w:lvlJc w:val="right"/>
      <w:pPr>
        <w:tabs>
          <w:tab w:val="num" w:pos="4770"/>
        </w:tabs>
        <w:ind w:left="4770" w:hanging="180"/>
      </w:pPr>
      <w:rPr>
        <w:rFonts w:hint="default"/>
      </w:rPr>
    </w:lvl>
    <w:lvl w:ilvl="6">
      <w:start w:val="1"/>
      <w:numFmt w:val="decimal"/>
      <w:lvlText w:val="%7."/>
      <w:lvlJc w:val="left"/>
      <w:pPr>
        <w:tabs>
          <w:tab w:val="num" w:pos="5490"/>
        </w:tabs>
        <w:ind w:left="5490" w:hanging="360"/>
      </w:pPr>
      <w:rPr>
        <w:rFonts w:hint="default"/>
      </w:rPr>
    </w:lvl>
    <w:lvl w:ilvl="7">
      <w:start w:val="1"/>
      <w:numFmt w:val="lowerLetter"/>
      <w:lvlText w:val="%8."/>
      <w:lvlJc w:val="left"/>
      <w:pPr>
        <w:tabs>
          <w:tab w:val="num" w:pos="6210"/>
        </w:tabs>
        <w:ind w:left="6210" w:hanging="360"/>
      </w:pPr>
      <w:rPr>
        <w:rFonts w:hint="default"/>
      </w:rPr>
    </w:lvl>
    <w:lvl w:ilvl="8">
      <w:start w:val="1"/>
      <w:numFmt w:val="lowerRoman"/>
      <w:lvlText w:val="%9."/>
      <w:lvlJc w:val="right"/>
      <w:pPr>
        <w:tabs>
          <w:tab w:val="num" w:pos="6930"/>
        </w:tabs>
        <w:ind w:left="6930" w:hanging="180"/>
      </w:pPr>
      <w:rPr>
        <w:rFonts w:hint="default"/>
      </w:rPr>
    </w:lvl>
  </w:abstractNum>
  <w:abstractNum w:abstractNumId="5" w15:restartNumberingAfterBreak="0">
    <w:nsid w:val="63E339D0"/>
    <w:multiLevelType w:val="multilevel"/>
    <w:tmpl w:val="7F6CB400"/>
    <w:lvl w:ilvl="0">
      <w:start w:val="1"/>
      <w:numFmt w:val="upperLetter"/>
      <w:lvlText w:val="%1."/>
      <w:lvlJc w:val="left"/>
      <w:pPr>
        <w:tabs>
          <w:tab w:val="num" w:pos="810"/>
        </w:tabs>
        <w:ind w:left="810" w:hanging="360"/>
      </w:pPr>
      <w:rPr>
        <w:rFonts w:ascii="Arial" w:eastAsia="Times New Roman" w:hAnsi="Arial" w:cs="Arial" w:hint="default"/>
        <w:b w:val="0"/>
        <w:sz w:val="20"/>
        <w:szCs w:val="20"/>
      </w:rPr>
    </w:lvl>
    <w:lvl w:ilvl="1">
      <w:start w:val="1"/>
      <w:numFmt w:val="lowerRoman"/>
      <w:lvlText w:val="%2."/>
      <w:lvlJc w:val="left"/>
      <w:pPr>
        <w:tabs>
          <w:tab w:val="num" w:pos="1890"/>
        </w:tabs>
        <w:ind w:left="1890" w:hanging="360"/>
      </w:pPr>
      <w:rPr>
        <w:rFonts w:hint="default"/>
      </w:rPr>
    </w:lvl>
    <w:lvl w:ilvl="2">
      <w:start w:val="1"/>
      <w:numFmt w:val="decimal"/>
      <w:lvlText w:val="%3."/>
      <w:lvlJc w:val="right"/>
      <w:pPr>
        <w:tabs>
          <w:tab w:val="num" w:pos="2610"/>
        </w:tabs>
        <w:ind w:left="2610" w:hanging="180"/>
      </w:pPr>
      <w:rPr>
        <w:rFonts w:hint="default"/>
        <w:b w:val="0"/>
      </w:rPr>
    </w:lvl>
    <w:lvl w:ilvl="3">
      <w:start w:val="1"/>
      <w:numFmt w:val="lowerRoman"/>
      <w:lvlText w:val="%4."/>
      <w:lvlJc w:val="left"/>
      <w:pPr>
        <w:tabs>
          <w:tab w:val="num" w:pos="3330"/>
        </w:tabs>
        <w:ind w:left="3330" w:hanging="360"/>
      </w:pPr>
      <w:rPr>
        <w:rFonts w:ascii="Arial" w:eastAsia="Times New Roman" w:hAnsi="Arial" w:cs="Arial"/>
      </w:rPr>
    </w:lvl>
    <w:lvl w:ilvl="4">
      <w:start w:val="1"/>
      <w:numFmt w:val="lowerLetter"/>
      <w:lvlText w:val="%5."/>
      <w:lvlJc w:val="left"/>
      <w:pPr>
        <w:tabs>
          <w:tab w:val="num" w:pos="4050"/>
        </w:tabs>
        <w:ind w:left="4050" w:hanging="360"/>
      </w:pPr>
      <w:rPr>
        <w:rFonts w:hint="default"/>
      </w:rPr>
    </w:lvl>
    <w:lvl w:ilvl="5">
      <w:start w:val="1"/>
      <w:numFmt w:val="lowerRoman"/>
      <w:lvlText w:val="%6."/>
      <w:lvlJc w:val="right"/>
      <w:pPr>
        <w:tabs>
          <w:tab w:val="num" w:pos="4770"/>
        </w:tabs>
        <w:ind w:left="4770" w:hanging="180"/>
      </w:pPr>
      <w:rPr>
        <w:rFonts w:hint="default"/>
      </w:rPr>
    </w:lvl>
    <w:lvl w:ilvl="6">
      <w:start w:val="1"/>
      <w:numFmt w:val="decimal"/>
      <w:lvlText w:val="%7."/>
      <w:lvlJc w:val="left"/>
      <w:pPr>
        <w:tabs>
          <w:tab w:val="num" w:pos="5490"/>
        </w:tabs>
        <w:ind w:left="5490" w:hanging="360"/>
      </w:pPr>
      <w:rPr>
        <w:rFonts w:hint="default"/>
      </w:rPr>
    </w:lvl>
    <w:lvl w:ilvl="7">
      <w:start w:val="1"/>
      <w:numFmt w:val="lowerLetter"/>
      <w:lvlText w:val="%8."/>
      <w:lvlJc w:val="left"/>
      <w:pPr>
        <w:tabs>
          <w:tab w:val="num" w:pos="6210"/>
        </w:tabs>
        <w:ind w:left="6210" w:hanging="360"/>
      </w:pPr>
      <w:rPr>
        <w:rFonts w:hint="default"/>
      </w:rPr>
    </w:lvl>
    <w:lvl w:ilvl="8">
      <w:start w:val="1"/>
      <w:numFmt w:val="lowerRoman"/>
      <w:lvlText w:val="%9."/>
      <w:lvlJc w:val="right"/>
      <w:pPr>
        <w:tabs>
          <w:tab w:val="num" w:pos="6930"/>
        </w:tabs>
        <w:ind w:left="6930" w:hanging="180"/>
      </w:pPr>
      <w:rPr>
        <w:rFonts w:hint="default"/>
      </w:rPr>
    </w:lvl>
  </w:abstractNum>
  <w:abstractNum w:abstractNumId="6" w15:restartNumberingAfterBreak="0">
    <w:nsid w:val="65497D36"/>
    <w:multiLevelType w:val="multilevel"/>
    <w:tmpl w:val="96442A74"/>
    <w:lvl w:ilvl="0">
      <w:start w:val="1"/>
      <w:numFmt w:val="upperLetter"/>
      <w:lvlText w:val="%1."/>
      <w:lvlJc w:val="left"/>
      <w:pPr>
        <w:tabs>
          <w:tab w:val="num" w:pos="810"/>
        </w:tabs>
        <w:ind w:left="810" w:hanging="360"/>
      </w:pPr>
      <w:rPr>
        <w:rFonts w:ascii="Arial" w:eastAsia="Times New Roman" w:hAnsi="Arial" w:cs="Arial" w:hint="default"/>
        <w:sz w:val="20"/>
        <w:szCs w:val="20"/>
      </w:rPr>
    </w:lvl>
    <w:lvl w:ilvl="1">
      <w:start w:val="1"/>
      <w:numFmt w:val="lowerRoman"/>
      <w:lvlText w:val="%2."/>
      <w:lvlJc w:val="left"/>
      <w:pPr>
        <w:tabs>
          <w:tab w:val="num" w:pos="1890"/>
        </w:tabs>
        <w:ind w:left="1890" w:hanging="360"/>
      </w:pPr>
      <w:rPr>
        <w:rFonts w:hint="default"/>
      </w:rPr>
    </w:lvl>
    <w:lvl w:ilvl="2">
      <w:start w:val="1"/>
      <w:numFmt w:val="decimal"/>
      <w:lvlText w:val="%3."/>
      <w:lvlJc w:val="right"/>
      <w:pPr>
        <w:tabs>
          <w:tab w:val="num" w:pos="1170"/>
        </w:tabs>
        <w:ind w:left="1170" w:hanging="180"/>
      </w:pPr>
      <w:rPr>
        <w:rFonts w:hint="default"/>
      </w:rPr>
    </w:lvl>
    <w:lvl w:ilvl="3">
      <w:start w:val="1"/>
      <w:numFmt w:val="decimal"/>
      <w:lvlText w:val="%4."/>
      <w:lvlJc w:val="left"/>
      <w:pPr>
        <w:tabs>
          <w:tab w:val="num" w:pos="3330"/>
        </w:tabs>
        <w:ind w:left="3330" w:hanging="360"/>
      </w:pPr>
      <w:rPr>
        <w:rFonts w:hint="default"/>
      </w:rPr>
    </w:lvl>
    <w:lvl w:ilvl="4">
      <w:start w:val="1"/>
      <w:numFmt w:val="lowerLetter"/>
      <w:lvlText w:val="%5."/>
      <w:lvlJc w:val="left"/>
      <w:pPr>
        <w:tabs>
          <w:tab w:val="num" w:pos="4050"/>
        </w:tabs>
        <w:ind w:left="4050" w:hanging="360"/>
      </w:pPr>
      <w:rPr>
        <w:rFonts w:hint="default"/>
      </w:rPr>
    </w:lvl>
    <w:lvl w:ilvl="5">
      <w:start w:val="1"/>
      <w:numFmt w:val="lowerRoman"/>
      <w:lvlText w:val="%6."/>
      <w:lvlJc w:val="right"/>
      <w:pPr>
        <w:tabs>
          <w:tab w:val="num" w:pos="4770"/>
        </w:tabs>
        <w:ind w:left="4770" w:hanging="180"/>
      </w:pPr>
      <w:rPr>
        <w:rFonts w:hint="default"/>
      </w:rPr>
    </w:lvl>
    <w:lvl w:ilvl="6">
      <w:start w:val="1"/>
      <w:numFmt w:val="decimal"/>
      <w:lvlText w:val="%7."/>
      <w:lvlJc w:val="left"/>
      <w:pPr>
        <w:tabs>
          <w:tab w:val="num" w:pos="5490"/>
        </w:tabs>
        <w:ind w:left="5490" w:hanging="360"/>
      </w:pPr>
      <w:rPr>
        <w:rFonts w:hint="default"/>
      </w:rPr>
    </w:lvl>
    <w:lvl w:ilvl="7">
      <w:start w:val="1"/>
      <w:numFmt w:val="lowerLetter"/>
      <w:lvlText w:val="%8."/>
      <w:lvlJc w:val="left"/>
      <w:pPr>
        <w:tabs>
          <w:tab w:val="num" w:pos="6210"/>
        </w:tabs>
        <w:ind w:left="6210" w:hanging="360"/>
      </w:pPr>
      <w:rPr>
        <w:rFonts w:hint="default"/>
      </w:rPr>
    </w:lvl>
    <w:lvl w:ilvl="8">
      <w:start w:val="1"/>
      <w:numFmt w:val="lowerRoman"/>
      <w:lvlText w:val="%9."/>
      <w:lvlJc w:val="right"/>
      <w:pPr>
        <w:tabs>
          <w:tab w:val="num" w:pos="6930"/>
        </w:tabs>
        <w:ind w:left="6930" w:hanging="180"/>
      </w:pPr>
      <w:rPr>
        <w:rFonts w:hint="default"/>
      </w:rPr>
    </w:lvl>
  </w:abstractNum>
  <w:abstractNum w:abstractNumId="7" w15:restartNumberingAfterBreak="0">
    <w:nsid w:val="71DF4B4F"/>
    <w:multiLevelType w:val="multilevel"/>
    <w:tmpl w:val="B1B87026"/>
    <w:lvl w:ilvl="0">
      <w:start w:val="1"/>
      <w:numFmt w:val="upperLetter"/>
      <w:lvlText w:val="%1."/>
      <w:lvlJc w:val="left"/>
      <w:pPr>
        <w:tabs>
          <w:tab w:val="num" w:pos="900"/>
        </w:tabs>
        <w:ind w:left="900" w:hanging="360"/>
      </w:pPr>
      <w:rPr>
        <w:rFonts w:ascii="Arial" w:eastAsia="Times New Roman" w:hAnsi="Arial" w:cs="Arial" w:hint="default"/>
        <w:sz w:val="20"/>
        <w:szCs w:val="20"/>
      </w:rPr>
    </w:lvl>
    <w:lvl w:ilvl="1">
      <w:start w:val="1"/>
      <w:numFmt w:val="lowerRoman"/>
      <w:lvlText w:val="%2."/>
      <w:lvlJc w:val="left"/>
      <w:pPr>
        <w:tabs>
          <w:tab w:val="num" w:pos="1980"/>
        </w:tabs>
        <w:ind w:left="1980" w:hanging="360"/>
      </w:pPr>
      <w:rPr>
        <w:rFonts w:hint="default"/>
      </w:rPr>
    </w:lvl>
    <w:lvl w:ilvl="2">
      <w:start w:val="1"/>
      <w:numFmt w:val="decimal"/>
      <w:lvlText w:val="%3."/>
      <w:lvlJc w:val="right"/>
      <w:pPr>
        <w:tabs>
          <w:tab w:val="num" w:pos="2700"/>
        </w:tabs>
        <w:ind w:left="2700" w:hanging="180"/>
      </w:pPr>
      <w:rPr>
        <w:rFonts w:hint="default"/>
      </w:rPr>
    </w:lvl>
    <w:lvl w:ilvl="3">
      <w:start w:val="1"/>
      <w:numFmt w:val="lowerRoman"/>
      <w:lvlText w:val="%4."/>
      <w:lvlJc w:val="left"/>
      <w:pPr>
        <w:tabs>
          <w:tab w:val="num" w:pos="3420"/>
        </w:tabs>
        <w:ind w:left="3420" w:hanging="360"/>
      </w:pPr>
      <w:rPr>
        <w:rFonts w:ascii="Arial" w:eastAsia="Times New Roman" w:hAnsi="Arial" w:cs="Arial"/>
      </w:rPr>
    </w:lvl>
    <w:lvl w:ilvl="4">
      <w:start w:val="1"/>
      <w:numFmt w:val="lowerLetter"/>
      <w:lvlText w:val="%5."/>
      <w:lvlJc w:val="left"/>
      <w:pPr>
        <w:tabs>
          <w:tab w:val="num" w:pos="4140"/>
        </w:tabs>
        <w:ind w:left="4140" w:hanging="360"/>
      </w:pPr>
      <w:rPr>
        <w:rFonts w:hint="default"/>
      </w:rPr>
    </w:lvl>
    <w:lvl w:ilvl="5">
      <w:start w:val="1"/>
      <w:numFmt w:val="lowerRoman"/>
      <w:lvlText w:val="%6."/>
      <w:lvlJc w:val="right"/>
      <w:pPr>
        <w:tabs>
          <w:tab w:val="num" w:pos="4860"/>
        </w:tabs>
        <w:ind w:left="4860" w:hanging="180"/>
      </w:pPr>
      <w:rPr>
        <w:rFonts w:hint="default"/>
      </w:rPr>
    </w:lvl>
    <w:lvl w:ilvl="6">
      <w:start w:val="1"/>
      <w:numFmt w:val="decimal"/>
      <w:lvlText w:val="%7."/>
      <w:lvlJc w:val="left"/>
      <w:pPr>
        <w:tabs>
          <w:tab w:val="num" w:pos="5580"/>
        </w:tabs>
        <w:ind w:left="5580" w:hanging="360"/>
      </w:pPr>
      <w:rPr>
        <w:rFonts w:hint="default"/>
      </w:rPr>
    </w:lvl>
    <w:lvl w:ilvl="7">
      <w:start w:val="1"/>
      <w:numFmt w:val="lowerLetter"/>
      <w:lvlText w:val="%8."/>
      <w:lvlJc w:val="left"/>
      <w:pPr>
        <w:tabs>
          <w:tab w:val="num" w:pos="6300"/>
        </w:tabs>
        <w:ind w:left="6300" w:hanging="360"/>
      </w:pPr>
      <w:rPr>
        <w:rFonts w:hint="default"/>
      </w:rPr>
    </w:lvl>
    <w:lvl w:ilvl="8">
      <w:start w:val="1"/>
      <w:numFmt w:val="lowerRoman"/>
      <w:lvlText w:val="%9."/>
      <w:lvlJc w:val="right"/>
      <w:pPr>
        <w:tabs>
          <w:tab w:val="num" w:pos="7020"/>
        </w:tabs>
        <w:ind w:left="7020" w:hanging="180"/>
      </w:pPr>
      <w:rPr>
        <w:rFonts w:hint="default"/>
      </w:rPr>
    </w:lvl>
  </w:abstractNum>
  <w:abstractNum w:abstractNumId="8" w15:restartNumberingAfterBreak="0">
    <w:nsid w:val="7851080F"/>
    <w:multiLevelType w:val="hybridMultilevel"/>
    <w:tmpl w:val="A90A51CC"/>
    <w:lvl w:ilvl="0" w:tplc="962EF80C">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6"/>
  </w:num>
  <w:num w:numId="4">
    <w:abstractNumId w:val="4"/>
  </w:num>
  <w:num w:numId="5">
    <w:abstractNumId w:val="7"/>
  </w:num>
  <w:num w:numId="6">
    <w:abstractNumId w:val="5"/>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59"/>
    <w:rsid w:val="00473458"/>
    <w:rsid w:val="00913F59"/>
    <w:rsid w:val="00F13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44C26"/>
  <w15:chartTrackingRefBased/>
  <w15:docId w15:val="{6809D9F8-8F79-4049-B7D0-377EA6CB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F59"/>
    <w:pPr>
      <w:spacing w:after="0" w:line="240" w:lineRule="auto"/>
    </w:pPr>
    <w:rPr>
      <w:rFonts w:ascii="Arial" w:eastAsia="Times New Roman" w:hAnsi="Arial" w:cs="Times New Roman"/>
      <w:sz w:val="20"/>
      <w:szCs w:val="24"/>
      <w:lang w:val="nl-NL" w:eastAsia="nl-NL"/>
    </w:rPr>
  </w:style>
  <w:style w:type="paragraph" w:styleId="Heading1">
    <w:name w:val="heading 1"/>
    <w:basedOn w:val="Normal"/>
    <w:next w:val="Normal"/>
    <w:link w:val="Heading1Char"/>
    <w:uiPriority w:val="9"/>
    <w:qFormat/>
    <w:rsid w:val="00913F59"/>
    <w:pPr>
      <w:spacing w:line="360" w:lineRule="auto"/>
      <w:jc w:val="center"/>
      <w:outlineLvl w:val="0"/>
    </w:pPr>
    <w:rPr>
      <w:b/>
      <w:sz w:val="28"/>
      <w:szCs w:val="20"/>
    </w:rPr>
  </w:style>
  <w:style w:type="paragraph" w:styleId="Heading2">
    <w:name w:val="heading 2"/>
    <w:basedOn w:val="Normal"/>
    <w:next w:val="Normal"/>
    <w:link w:val="Heading2Char"/>
    <w:uiPriority w:val="9"/>
    <w:unhideWhenUsed/>
    <w:qFormat/>
    <w:rsid w:val="00913F59"/>
    <w:pPr>
      <w:spacing w:line="360" w:lineRule="auto"/>
      <w:outlineLvl w:val="1"/>
    </w:pPr>
    <w:rPr>
      <w:b/>
      <w:u w:val="single"/>
    </w:rPr>
  </w:style>
  <w:style w:type="paragraph" w:styleId="Heading3">
    <w:name w:val="heading 3"/>
    <w:basedOn w:val="Normal"/>
    <w:next w:val="Normal"/>
    <w:link w:val="Heading3Char"/>
    <w:uiPriority w:val="9"/>
    <w:unhideWhenUsed/>
    <w:qFormat/>
    <w:rsid w:val="00913F59"/>
    <w:pPr>
      <w:spacing w:line="360" w:lineRule="auto"/>
      <w:outlineLvl w:val="2"/>
    </w:pPr>
    <w:rPr>
      <w:rFonts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F59"/>
    <w:rPr>
      <w:rFonts w:ascii="Arial" w:eastAsia="Times New Roman" w:hAnsi="Arial" w:cs="Times New Roman"/>
      <w:b/>
      <w:sz w:val="28"/>
      <w:szCs w:val="20"/>
      <w:lang w:val="nl-NL" w:eastAsia="nl-NL"/>
    </w:rPr>
  </w:style>
  <w:style w:type="character" w:customStyle="1" w:styleId="Heading2Char">
    <w:name w:val="Heading 2 Char"/>
    <w:basedOn w:val="DefaultParagraphFont"/>
    <w:link w:val="Heading2"/>
    <w:uiPriority w:val="9"/>
    <w:rsid w:val="00913F59"/>
    <w:rPr>
      <w:rFonts w:ascii="Arial" w:eastAsia="Times New Roman" w:hAnsi="Arial" w:cs="Times New Roman"/>
      <w:b/>
      <w:sz w:val="20"/>
      <w:szCs w:val="24"/>
      <w:u w:val="single"/>
      <w:lang w:val="nl-NL" w:eastAsia="nl-NL"/>
    </w:rPr>
  </w:style>
  <w:style w:type="character" w:customStyle="1" w:styleId="Heading3Char">
    <w:name w:val="Heading 3 Char"/>
    <w:basedOn w:val="DefaultParagraphFont"/>
    <w:link w:val="Heading3"/>
    <w:uiPriority w:val="9"/>
    <w:rsid w:val="00913F59"/>
    <w:rPr>
      <w:rFonts w:ascii="Arial" w:eastAsia="Times New Roman" w:hAnsi="Arial" w:cs="Arial"/>
      <w:b/>
      <w:szCs w:val="20"/>
      <w:lang w:val="nl-NL" w:eastAsia="nl-NL"/>
    </w:rPr>
  </w:style>
  <w:style w:type="paragraph" w:styleId="Footer">
    <w:name w:val="footer"/>
    <w:basedOn w:val="Normal"/>
    <w:link w:val="FooterChar"/>
    <w:uiPriority w:val="99"/>
    <w:unhideWhenUsed/>
    <w:rsid w:val="00913F59"/>
    <w:pPr>
      <w:tabs>
        <w:tab w:val="center" w:pos="4680"/>
        <w:tab w:val="right" w:pos="9360"/>
      </w:tabs>
    </w:pPr>
  </w:style>
  <w:style w:type="character" w:customStyle="1" w:styleId="FooterChar">
    <w:name w:val="Footer Char"/>
    <w:basedOn w:val="DefaultParagraphFont"/>
    <w:link w:val="Footer"/>
    <w:uiPriority w:val="99"/>
    <w:rsid w:val="00913F59"/>
    <w:rPr>
      <w:rFonts w:ascii="Arial" w:eastAsia="Times New Roman" w:hAnsi="Arial" w:cs="Times New Roman"/>
      <w:sz w:val="20"/>
      <w:szCs w:val="24"/>
      <w:lang w:val="nl-NL" w:eastAsia="nl-NL"/>
    </w:rPr>
  </w:style>
  <w:style w:type="character" w:styleId="Hyperlink">
    <w:name w:val="Hyperlink"/>
    <w:basedOn w:val="DefaultParagraphFont"/>
    <w:uiPriority w:val="99"/>
    <w:unhideWhenUsed/>
    <w:rsid w:val="00913F59"/>
    <w:rPr>
      <w:color w:val="0000FF"/>
      <w:u w:val="single"/>
    </w:rPr>
  </w:style>
  <w:style w:type="paragraph" w:styleId="Caption">
    <w:name w:val="caption"/>
    <w:basedOn w:val="Normal"/>
    <w:next w:val="Normal"/>
    <w:uiPriority w:val="35"/>
    <w:unhideWhenUsed/>
    <w:qFormat/>
    <w:rsid w:val="00913F59"/>
    <w:rPr>
      <w:b/>
      <w:bCs/>
      <w:szCs w:val="20"/>
    </w:rPr>
  </w:style>
  <w:style w:type="character" w:styleId="CommentReference">
    <w:name w:val="annotation reference"/>
    <w:basedOn w:val="DefaultParagraphFont"/>
    <w:uiPriority w:val="99"/>
    <w:semiHidden/>
    <w:unhideWhenUsed/>
    <w:rsid w:val="00913F59"/>
    <w:rPr>
      <w:sz w:val="16"/>
      <w:szCs w:val="16"/>
    </w:rPr>
  </w:style>
  <w:style w:type="paragraph" w:styleId="CommentText">
    <w:name w:val="annotation text"/>
    <w:basedOn w:val="Normal"/>
    <w:link w:val="CommentTextChar"/>
    <w:uiPriority w:val="99"/>
    <w:semiHidden/>
    <w:unhideWhenUsed/>
    <w:rsid w:val="00913F59"/>
    <w:rPr>
      <w:szCs w:val="20"/>
    </w:rPr>
  </w:style>
  <w:style w:type="character" w:customStyle="1" w:styleId="CommentTextChar">
    <w:name w:val="Comment Text Char"/>
    <w:basedOn w:val="DefaultParagraphFont"/>
    <w:link w:val="CommentText"/>
    <w:uiPriority w:val="99"/>
    <w:semiHidden/>
    <w:rsid w:val="00913F59"/>
    <w:rPr>
      <w:rFonts w:ascii="Arial" w:eastAsia="Times New Roman" w:hAnsi="Arial" w:cs="Times New Roman"/>
      <w:sz w:val="20"/>
      <w:szCs w:val="20"/>
      <w:lang w:val="nl-NL" w:eastAsia="nl-NL"/>
    </w:rPr>
  </w:style>
  <w:style w:type="paragraph" w:styleId="ListParagraph">
    <w:name w:val="List Paragraph"/>
    <w:basedOn w:val="Normal"/>
    <w:uiPriority w:val="34"/>
    <w:qFormat/>
    <w:rsid w:val="00913F59"/>
    <w:pPr>
      <w:ind w:left="720"/>
      <w:contextualSpacing/>
    </w:pPr>
  </w:style>
  <w:style w:type="paragraph" w:styleId="BalloonText">
    <w:name w:val="Balloon Text"/>
    <w:basedOn w:val="Normal"/>
    <w:link w:val="BalloonTextChar"/>
    <w:uiPriority w:val="99"/>
    <w:semiHidden/>
    <w:unhideWhenUsed/>
    <w:rsid w:val="00913F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F59"/>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ortation.gov/" TargetMode="External"/><Relationship Id="rId3" Type="http://schemas.openxmlformats.org/officeDocument/2006/relationships/settings" Target="settings.xml"/><Relationship Id="rId7" Type="http://schemas.openxmlformats.org/officeDocument/2006/relationships/hyperlink" Target="http://www.iata.org/Pages/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FB75E2A2.dotm</Template>
  <TotalTime>1</TotalTime>
  <Pages>6</Pages>
  <Words>2193</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The EMMES Corporation</Company>
  <LinksUpToDate>false</LinksUpToDate>
  <CharactersWithSpaces>14669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Franklin</dc:creator>
  <cp:keywords/>
  <dc:description/>
  <cp:lastModifiedBy>Andy Franklin</cp:lastModifiedBy>
  <cp:revision>2</cp:revision>
  <dcterms:created xsi:type="dcterms:W3CDTF">2017-05-23T20:34:00Z</dcterms:created>
  <dcterms:modified xsi:type="dcterms:W3CDTF">2017-05-24T17:27:00Z</dcterms:modified>
</cp:coreProperties>
</file>